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DF9F6" w14:textId="77777777" w:rsidR="000D6658" w:rsidRPr="00461572" w:rsidRDefault="000D6658" w:rsidP="000D6658">
      <w:pPr>
        <w:jc w:val="center"/>
        <w:rPr>
          <w:rFonts w:ascii="Arial" w:hAnsi="Arial" w:cs="Arial"/>
          <w:b/>
          <w:sz w:val="40"/>
          <w:szCs w:val="40"/>
        </w:rPr>
      </w:pPr>
      <w:r w:rsidRPr="00461572">
        <w:rPr>
          <w:rFonts w:ascii="Arial" w:hAnsi="Arial" w:cs="Arial"/>
          <w:b/>
          <w:sz w:val="40"/>
          <w:szCs w:val="40"/>
        </w:rPr>
        <w:t>The adaptation preparedness scoreboard</w:t>
      </w:r>
    </w:p>
    <w:p w14:paraId="3F8F6422" w14:textId="75CAFF9F" w:rsidR="0054532A" w:rsidRDefault="000D6658" w:rsidP="000D6658">
      <w:pPr>
        <w:jc w:val="center"/>
        <w:rPr>
          <w:rFonts w:ascii="Arial" w:hAnsi="Arial" w:cs="Arial"/>
          <w:b/>
          <w:sz w:val="28"/>
          <w:szCs w:val="28"/>
        </w:rPr>
      </w:pPr>
      <w:r w:rsidRPr="000D6658">
        <w:rPr>
          <w:rFonts w:ascii="Arial" w:hAnsi="Arial" w:cs="Arial"/>
          <w:b/>
          <w:sz w:val="28"/>
          <w:szCs w:val="28"/>
        </w:rPr>
        <w:t>Working Document</w:t>
      </w:r>
    </w:p>
    <w:p w14:paraId="512F3F8C" w14:textId="77777777" w:rsidR="00461572" w:rsidRDefault="00461572" w:rsidP="000D6658">
      <w:pPr>
        <w:jc w:val="center"/>
        <w:rPr>
          <w:rFonts w:ascii="Arial" w:hAnsi="Arial" w:cs="Arial"/>
          <w:b/>
          <w:sz w:val="28"/>
          <w:szCs w:val="28"/>
        </w:rPr>
      </w:pPr>
    </w:p>
    <w:tbl>
      <w:tblPr>
        <w:tblStyle w:val="TableGrid"/>
        <w:tblW w:w="9988" w:type="dxa"/>
        <w:tblInd w:w="468" w:type="dxa"/>
        <w:tblLook w:val="04A0" w:firstRow="1" w:lastRow="0" w:firstColumn="1" w:lastColumn="0" w:noHBand="0" w:noVBand="1"/>
      </w:tblPr>
      <w:tblGrid>
        <w:gridCol w:w="1549"/>
        <w:gridCol w:w="2646"/>
        <w:gridCol w:w="637"/>
        <w:gridCol w:w="1603"/>
        <w:gridCol w:w="3553"/>
      </w:tblGrid>
      <w:tr w:rsidR="00E311CE" w:rsidRPr="000D27EA" w14:paraId="40709A90" w14:textId="77777777" w:rsidTr="00461572">
        <w:tc>
          <w:tcPr>
            <w:tcW w:w="9988" w:type="dxa"/>
            <w:gridSpan w:val="5"/>
            <w:shd w:val="pct10" w:color="auto" w:fill="auto"/>
          </w:tcPr>
          <w:p w14:paraId="195080F9" w14:textId="28DD69C4" w:rsidR="00E311CE" w:rsidRPr="000D27EA" w:rsidRDefault="000D6658" w:rsidP="00E311CE">
            <w:pPr>
              <w:widowControl w:val="0"/>
              <w:spacing w:before="120" w:after="120"/>
              <w:jc w:val="center"/>
              <w:rPr>
                <w:rFonts w:ascii="Arial" w:hAnsi="Arial" w:cs="Arial"/>
                <w:b/>
                <w:sz w:val="24"/>
                <w:szCs w:val="24"/>
              </w:rPr>
            </w:pPr>
            <w:r>
              <w:rPr>
                <w:rFonts w:ascii="Arial" w:hAnsi="Arial" w:cs="Arial"/>
                <w:b/>
                <w:sz w:val="28"/>
                <w:szCs w:val="28"/>
              </w:rPr>
              <w:tab/>
            </w:r>
            <w:r>
              <w:rPr>
                <w:rFonts w:ascii="Arial" w:hAnsi="Arial" w:cs="Arial"/>
                <w:b/>
                <w:sz w:val="28"/>
                <w:szCs w:val="28"/>
              </w:rPr>
              <w:tab/>
            </w:r>
            <w:r w:rsidR="00E311CE">
              <w:rPr>
                <w:rFonts w:ascii="Arial" w:hAnsi="Arial" w:cs="Arial"/>
                <w:b/>
                <w:sz w:val="24"/>
                <w:szCs w:val="24"/>
              </w:rPr>
              <w:t>Policy Framework</w:t>
            </w:r>
          </w:p>
        </w:tc>
      </w:tr>
      <w:tr w:rsidR="00E311CE" w:rsidRPr="000D27EA" w14:paraId="1A01C17D" w14:textId="77777777" w:rsidTr="00461572">
        <w:tc>
          <w:tcPr>
            <w:tcW w:w="1549" w:type="dxa"/>
            <w:vMerge w:val="restart"/>
            <w:shd w:val="pct10" w:color="auto" w:fill="auto"/>
          </w:tcPr>
          <w:p w14:paraId="554B1F11" w14:textId="77777777" w:rsidR="00E311CE" w:rsidRPr="00E311CE" w:rsidRDefault="00E311CE" w:rsidP="00E311CE">
            <w:pPr>
              <w:widowControl w:val="0"/>
              <w:spacing w:before="120" w:after="120"/>
              <w:rPr>
                <w:rFonts w:ascii="Arial" w:hAnsi="Arial" w:cs="Arial"/>
                <w:b/>
                <w:bCs/>
                <w:color w:val="000000"/>
                <w:lang w:eastAsia="en-GB"/>
              </w:rPr>
            </w:pPr>
            <w:r w:rsidRPr="00E311CE">
              <w:rPr>
                <w:rFonts w:ascii="Arial" w:hAnsi="Arial" w:cs="Arial"/>
                <w:b/>
                <w:bCs/>
                <w:color w:val="000000"/>
                <w:lang w:eastAsia="en-GB"/>
              </w:rPr>
              <w:t>A</w:t>
            </w:r>
          </w:p>
          <w:p w14:paraId="42AEC272" w14:textId="122108E4" w:rsidR="00E311CE" w:rsidRPr="00E311CE" w:rsidRDefault="00E311CE" w:rsidP="00E311CE">
            <w:pPr>
              <w:widowControl w:val="0"/>
              <w:spacing w:before="120" w:after="120"/>
              <w:rPr>
                <w:rFonts w:ascii="Arial" w:hAnsi="Arial" w:cs="Arial"/>
                <w:b/>
                <w:bCs/>
                <w:color w:val="000000"/>
                <w:lang w:eastAsia="en-GB"/>
              </w:rPr>
            </w:pPr>
          </w:p>
        </w:tc>
        <w:tc>
          <w:tcPr>
            <w:tcW w:w="3283" w:type="dxa"/>
            <w:gridSpan w:val="2"/>
            <w:vMerge w:val="restart"/>
            <w:shd w:val="pct10" w:color="auto" w:fill="auto"/>
          </w:tcPr>
          <w:p w14:paraId="05A14BA0" w14:textId="681E2A9F" w:rsidR="00E311CE" w:rsidRPr="00E311CE" w:rsidRDefault="00E311CE" w:rsidP="00E311CE">
            <w:pPr>
              <w:widowControl w:val="0"/>
              <w:spacing w:before="120" w:after="120"/>
              <w:rPr>
                <w:rFonts w:ascii="Arial" w:hAnsi="Arial" w:cs="Arial"/>
                <w:b/>
                <w:bCs/>
                <w:color w:val="000000"/>
                <w:lang w:eastAsia="en-GB"/>
              </w:rPr>
            </w:pPr>
            <w:r w:rsidRPr="00E311CE">
              <w:rPr>
                <w:rFonts w:ascii="Arial" w:hAnsi="Arial" w:cs="Arial"/>
                <w:b/>
                <w:bCs/>
                <w:color w:val="000000"/>
                <w:lang w:eastAsia="en-GB"/>
              </w:rPr>
              <w:t>Adaptation strategies</w:t>
            </w:r>
          </w:p>
        </w:tc>
        <w:tc>
          <w:tcPr>
            <w:tcW w:w="1603" w:type="dxa"/>
            <w:shd w:val="pct10" w:color="auto" w:fill="auto"/>
          </w:tcPr>
          <w:p w14:paraId="17DEE496" w14:textId="6A80A7FB" w:rsidR="00E311CE" w:rsidRPr="00E311CE" w:rsidRDefault="00E311CE" w:rsidP="00E311CE">
            <w:pPr>
              <w:widowControl w:val="0"/>
              <w:spacing w:before="120" w:after="120"/>
              <w:rPr>
                <w:rFonts w:ascii="Arial" w:hAnsi="Arial" w:cs="Arial"/>
                <w:b/>
                <w:bCs/>
                <w:color w:val="000000"/>
                <w:lang w:eastAsia="en-GB"/>
              </w:rPr>
            </w:pPr>
            <w:r w:rsidRPr="00E311CE">
              <w:rPr>
                <w:rFonts w:ascii="Arial" w:hAnsi="Arial" w:cs="Arial"/>
                <w:b/>
                <w:bCs/>
                <w:color w:val="000000"/>
                <w:lang w:eastAsia="en-GB"/>
              </w:rPr>
              <w:t>A1</w:t>
            </w:r>
          </w:p>
        </w:tc>
        <w:tc>
          <w:tcPr>
            <w:tcW w:w="3553" w:type="dxa"/>
            <w:shd w:val="pct10" w:color="auto" w:fill="auto"/>
          </w:tcPr>
          <w:p w14:paraId="5CF40F74" w14:textId="57BD7FDA" w:rsidR="00E311CE" w:rsidRPr="00E311CE" w:rsidRDefault="00E311CE" w:rsidP="00E311CE">
            <w:pPr>
              <w:widowControl w:val="0"/>
              <w:spacing w:before="120" w:after="120"/>
              <w:rPr>
                <w:rFonts w:ascii="Arial" w:hAnsi="Arial" w:cs="Arial"/>
                <w:b/>
              </w:rPr>
            </w:pPr>
            <w:r w:rsidRPr="00E311CE">
              <w:rPr>
                <w:rFonts w:ascii="Arial" w:hAnsi="Arial" w:cs="Arial"/>
                <w:color w:val="000000"/>
                <w:lang w:eastAsia="en-GB"/>
              </w:rPr>
              <w:t xml:space="preserve">A national adaptation strategy has been adopted </w:t>
            </w:r>
          </w:p>
        </w:tc>
      </w:tr>
      <w:tr w:rsidR="00E311CE" w:rsidRPr="000D27EA" w14:paraId="419574E9" w14:textId="77777777" w:rsidTr="00461572">
        <w:tc>
          <w:tcPr>
            <w:tcW w:w="1549" w:type="dxa"/>
            <w:vMerge/>
            <w:shd w:val="pct10" w:color="auto" w:fill="auto"/>
          </w:tcPr>
          <w:p w14:paraId="5068A4E9" w14:textId="6E768EA4" w:rsidR="00E311CE" w:rsidRPr="00E311CE" w:rsidRDefault="00E311CE" w:rsidP="00E311CE">
            <w:pPr>
              <w:widowControl w:val="0"/>
              <w:spacing w:before="120" w:after="120"/>
              <w:rPr>
                <w:rFonts w:ascii="Arial" w:hAnsi="Arial" w:cs="Arial"/>
                <w:b/>
                <w:bCs/>
                <w:color w:val="000000"/>
                <w:lang w:eastAsia="en-GB"/>
              </w:rPr>
            </w:pPr>
          </w:p>
        </w:tc>
        <w:tc>
          <w:tcPr>
            <w:tcW w:w="3283" w:type="dxa"/>
            <w:gridSpan w:val="2"/>
            <w:vMerge/>
            <w:shd w:val="pct10" w:color="auto" w:fill="auto"/>
          </w:tcPr>
          <w:p w14:paraId="546C2096" w14:textId="77777777" w:rsidR="00E311CE" w:rsidRPr="00E311CE" w:rsidRDefault="00E311CE" w:rsidP="00E311CE">
            <w:pPr>
              <w:widowControl w:val="0"/>
              <w:spacing w:before="120" w:after="120"/>
              <w:rPr>
                <w:rFonts w:ascii="Arial" w:hAnsi="Arial" w:cs="Arial"/>
                <w:b/>
                <w:bCs/>
                <w:color w:val="000000"/>
                <w:lang w:eastAsia="en-GB"/>
              </w:rPr>
            </w:pPr>
          </w:p>
        </w:tc>
        <w:tc>
          <w:tcPr>
            <w:tcW w:w="1603" w:type="dxa"/>
            <w:shd w:val="pct10" w:color="auto" w:fill="auto"/>
          </w:tcPr>
          <w:p w14:paraId="532AF2C2" w14:textId="64B92F95" w:rsidR="00E311CE" w:rsidRPr="00E311CE" w:rsidRDefault="00E311CE" w:rsidP="00E311CE">
            <w:pPr>
              <w:widowControl w:val="0"/>
              <w:spacing w:before="120" w:after="120"/>
              <w:rPr>
                <w:rFonts w:ascii="Arial" w:hAnsi="Arial" w:cs="Arial"/>
                <w:b/>
                <w:bCs/>
                <w:color w:val="000000"/>
                <w:lang w:eastAsia="en-GB"/>
              </w:rPr>
            </w:pPr>
            <w:r w:rsidRPr="00E311CE">
              <w:rPr>
                <w:rFonts w:ascii="Arial" w:hAnsi="Arial" w:cs="Arial"/>
                <w:b/>
                <w:bCs/>
                <w:color w:val="000000"/>
                <w:lang w:eastAsia="en-GB"/>
              </w:rPr>
              <w:t>A2</w:t>
            </w:r>
          </w:p>
        </w:tc>
        <w:tc>
          <w:tcPr>
            <w:tcW w:w="3553" w:type="dxa"/>
            <w:shd w:val="pct10" w:color="auto" w:fill="auto"/>
          </w:tcPr>
          <w:p w14:paraId="31AFD545" w14:textId="3AB94999" w:rsidR="00E311CE" w:rsidRPr="00E311CE" w:rsidRDefault="00E311CE" w:rsidP="00E311CE">
            <w:pPr>
              <w:widowControl w:val="0"/>
              <w:spacing w:before="120" w:after="120"/>
              <w:rPr>
                <w:rFonts w:ascii="Arial" w:hAnsi="Arial" w:cs="Arial"/>
                <w:b/>
              </w:rPr>
            </w:pPr>
            <w:r w:rsidRPr="00E311CE">
              <w:rPr>
                <w:rFonts w:ascii="Arial" w:hAnsi="Arial" w:cs="Arial"/>
                <w:color w:val="000000"/>
                <w:lang w:eastAsia="en-GB"/>
              </w:rPr>
              <w:t>Number and scope (% of population or territory covered) of adaptation strategies adopted at relevant subnational levels, in line with national multilevel governance arrangements</w:t>
            </w:r>
          </w:p>
        </w:tc>
      </w:tr>
      <w:tr w:rsidR="00E311CE" w:rsidRPr="000D27EA" w14:paraId="256AB605" w14:textId="77777777" w:rsidTr="00461572">
        <w:tc>
          <w:tcPr>
            <w:tcW w:w="1549" w:type="dxa"/>
            <w:vMerge w:val="restart"/>
            <w:shd w:val="pct10" w:color="auto" w:fill="auto"/>
          </w:tcPr>
          <w:p w14:paraId="1DB2D501" w14:textId="71495004" w:rsidR="00E311CE" w:rsidRPr="00E311CE" w:rsidRDefault="00E311CE" w:rsidP="00E311CE">
            <w:pPr>
              <w:widowControl w:val="0"/>
              <w:spacing w:before="120" w:after="120"/>
              <w:rPr>
                <w:rFonts w:ascii="Arial" w:hAnsi="Arial" w:cs="Arial"/>
                <w:b/>
                <w:bCs/>
                <w:color w:val="000000"/>
                <w:lang w:eastAsia="en-GB"/>
              </w:rPr>
            </w:pPr>
            <w:r w:rsidRPr="00E311CE">
              <w:rPr>
                <w:rFonts w:ascii="Arial" w:hAnsi="Arial" w:cs="Arial"/>
                <w:b/>
                <w:bCs/>
                <w:color w:val="000000"/>
                <w:lang w:eastAsia="en-GB"/>
              </w:rPr>
              <w:t>B</w:t>
            </w:r>
          </w:p>
        </w:tc>
        <w:tc>
          <w:tcPr>
            <w:tcW w:w="3283" w:type="dxa"/>
            <w:gridSpan w:val="2"/>
            <w:vMerge w:val="restart"/>
            <w:shd w:val="pct10" w:color="auto" w:fill="auto"/>
          </w:tcPr>
          <w:p w14:paraId="1DF116AA" w14:textId="76520B71" w:rsidR="00E311CE" w:rsidRPr="00E311CE" w:rsidRDefault="00E311CE" w:rsidP="00E311CE">
            <w:pPr>
              <w:widowControl w:val="0"/>
              <w:spacing w:before="120" w:after="120"/>
              <w:rPr>
                <w:rFonts w:ascii="Arial" w:hAnsi="Arial" w:cs="Arial"/>
                <w:b/>
                <w:bCs/>
                <w:color w:val="000000"/>
                <w:lang w:eastAsia="en-GB"/>
              </w:rPr>
            </w:pPr>
            <w:r w:rsidRPr="00E311CE">
              <w:rPr>
                <w:rFonts w:ascii="Arial" w:hAnsi="Arial" w:cs="Arial"/>
                <w:b/>
                <w:bCs/>
                <w:color w:val="000000"/>
                <w:lang w:eastAsia="en-GB"/>
              </w:rPr>
              <w:t>Adaptation action plans</w:t>
            </w:r>
          </w:p>
        </w:tc>
        <w:tc>
          <w:tcPr>
            <w:tcW w:w="1603" w:type="dxa"/>
            <w:shd w:val="pct10" w:color="auto" w:fill="auto"/>
          </w:tcPr>
          <w:p w14:paraId="44FF3161" w14:textId="448DF7FE" w:rsidR="00E311CE" w:rsidRPr="00E311CE" w:rsidRDefault="00E311CE" w:rsidP="00E311CE">
            <w:pPr>
              <w:widowControl w:val="0"/>
              <w:spacing w:before="120" w:after="120"/>
              <w:rPr>
                <w:rFonts w:ascii="Arial" w:hAnsi="Arial" w:cs="Arial"/>
                <w:b/>
                <w:bCs/>
                <w:color w:val="000000"/>
                <w:lang w:eastAsia="en-GB"/>
              </w:rPr>
            </w:pPr>
            <w:r w:rsidRPr="00E311CE">
              <w:rPr>
                <w:rFonts w:ascii="Arial" w:hAnsi="Arial" w:cs="Arial"/>
                <w:b/>
                <w:bCs/>
                <w:color w:val="000000"/>
                <w:lang w:eastAsia="en-GB"/>
              </w:rPr>
              <w:t>B1</w:t>
            </w:r>
          </w:p>
        </w:tc>
        <w:tc>
          <w:tcPr>
            <w:tcW w:w="3553" w:type="dxa"/>
            <w:shd w:val="pct10" w:color="auto" w:fill="auto"/>
          </w:tcPr>
          <w:p w14:paraId="0D1623DE" w14:textId="1BDEA27E" w:rsidR="00E311CE" w:rsidRPr="00E311CE" w:rsidRDefault="00E311CE" w:rsidP="00E311CE">
            <w:pPr>
              <w:widowControl w:val="0"/>
              <w:spacing w:before="120" w:after="120"/>
              <w:rPr>
                <w:rFonts w:ascii="Arial" w:hAnsi="Arial" w:cs="Arial"/>
                <w:b/>
              </w:rPr>
            </w:pPr>
            <w:r w:rsidRPr="00E311CE">
              <w:rPr>
                <w:rFonts w:ascii="Arial" w:hAnsi="Arial" w:cs="Arial"/>
                <w:color w:val="000000"/>
                <w:lang w:eastAsia="en-GB"/>
              </w:rPr>
              <w:t xml:space="preserve">A national adaptation action plan has been adopted </w:t>
            </w:r>
          </w:p>
        </w:tc>
      </w:tr>
      <w:tr w:rsidR="00E311CE" w:rsidRPr="000D27EA" w14:paraId="1CBD5A1F" w14:textId="77777777" w:rsidTr="00461572">
        <w:tc>
          <w:tcPr>
            <w:tcW w:w="1549" w:type="dxa"/>
            <w:vMerge/>
            <w:shd w:val="pct10" w:color="auto" w:fill="auto"/>
          </w:tcPr>
          <w:p w14:paraId="3FE271D9" w14:textId="77777777" w:rsidR="00E311CE" w:rsidRPr="00E311CE" w:rsidRDefault="00E311CE" w:rsidP="00E311CE">
            <w:pPr>
              <w:widowControl w:val="0"/>
              <w:spacing w:before="120" w:after="120"/>
              <w:rPr>
                <w:rFonts w:ascii="Arial" w:hAnsi="Arial" w:cs="Arial"/>
                <w:b/>
                <w:bCs/>
                <w:color w:val="000000"/>
                <w:lang w:eastAsia="en-GB"/>
              </w:rPr>
            </w:pPr>
          </w:p>
        </w:tc>
        <w:tc>
          <w:tcPr>
            <w:tcW w:w="3283" w:type="dxa"/>
            <w:gridSpan w:val="2"/>
            <w:vMerge/>
            <w:shd w:val="pct10" w:color="auto" w:fill="auto"/>
          </w:tcPr>
          <w:p w14:paraId="5BD616C4" w14:textId="77777777" w:rsidR="00E311CE" w:rsidRPr="00E311CE" w:rsidRDefault="00E311CE" w:rsidP="00E311CE">
            <w:pPr>
              <w:widowControl w:val="0"/>
              <w:spacing w:before="120" w:after="120"/>
              <w:rPr>
                <w:rFonts w:ascii="Arial" w:hAnsi="Arial" w:cs="Arial"/>
                <w:b/>
                <w:bCs/>
                <w:color w:val="000000"/>
                <w:lang w:eastAsia="en-GB"/>
              </w:rPr>
            </w:pPr>
          </w:p>
        </w:tc>
        <w:tc>
          <w:tcPr>
            <w:tcW w:w="1603" w:type="dxa"/>
            <w:shd w:val="pct10" w:color="auto" w:fill="auto"/>
          </w:tcPr>
          <w:p w14:paraId="3F3450AB" w14:textId="156FB48D" w:rsidR="00E311CE" w:rsidRPr="00E311CE" w:rsidRDefault="00E311CE" w:rsidP="00E311CE">
            <w:pPr>
              <w:widowControl w:val="0"/>
              <w:spacing w:before="120" w:after="120"/>
              <w:rPr>
                <w:rFonts w:ascii="Arial" w:hAnsi="Arial" w:cs="Arial"/>
                <w:b/>
                <w:bCs/>
                <w:color w:val="000000"/>
                <w:lang w:eastAsia="en-GB"/>
              </w:rPr>
            </w:pPr>
            <w:r w:rsidRPr="00E311CE">
              <w:rPr>
                <w:rFonts w:ascii="Arial" w:hAnsi="Arial" w:cs="Arial"/>
                <w:b/>
                <w:bCs/>
                <w:color w:val="000000"/>
                <w:lang w:eastAsia="en-GB"/>
              </w:rPr>
              <w:t>B2</w:t>
            </w:r>
          </w:p>
        </w:tc>
        <w:tc>
          <w:tcPr>
            <w:tcW w:w="3553" w:type="dxa"/>
            <w:shd w:val="pct10" w:color="auto" w:fill="auto"/>
          </w:tcPr>
          <w:p w14:paraId="55078670" w14:textId="470C7C83" w:rsidR="00E311CE" w:rsidRPr="00E311CE" w:rsidRDefault="00E311CE" w:rsidP="00E311CE">
            <w:pPr>
              <w:widowControl w:val="0"/>
              <w:spacing w:before="120" w:after="120"/>
              <w:rPr>
                <w:rFonts w:ascii="Arial" w:hAnsi="Arial" w:cs="Arial"/>
                <w:b/>
              </w:rPr>
            </w:pPr>
            <w:r w:rsidRPr="00E311CE">
              <w:rPr>
                <w:rFonts w:ascii="Arial" w:hAnsi="Arial" w:cs="Arial"/>
                <w:color w:val="000000"/>
                <w:lang w:eastAsia="en-GB"/>
              </w:rPr>
              <w:t>Number and scope of adaptation action plans adopted at local or relevant subnational levels</w:t>
            </w:r>
          </w:p>
        </w:tc>
      </w:tr>
      <w:tr w:rsidR="00E311CE" w:rsidRPr="000D27EA" w14:paraId="5E72A753" w14:textId="77777777" w:rsidTr="00461572">
        <w:tc>
          <w:tcPr>
            <w:tcW w:w="1549" w:type="dxa"/>
            <w:vMerge/>
            <w:shd w:val="pct10" w:color="auto" w:fill="auto"/>
          </w:tcPr>
          <w:p w14:paraId="38A24CEE" w14:textId="77777777" w:rsidR="00E311CE" w:rsidRPr="00E311CE" w:rsidRDefault="00E311CE" w:rsidP="00E311CE">
            <w:pPr>
              <w:widowControl w:val="0"/>
              <w:spacing w:before="120" w:after="120"/>
              <w:rPr>
                <w:rFonts w:ascii="Arial" w:hAnsi="Arial" w:cs="Arial"/>
                <w:b/>
                <w:bCs/>
                <w:color w:val="000000"/>
                <w:lang w:eastAsia="en-GB"/>
              </w:rPr>
            </w:pPr>
          </w:p>
        </w:tc>
        <w:tc>
          <w:tcPr>
            <w:tcW w:w="3283" w:type="dxa"/>
            <w:gridSpan w:val="2"/>
            <w:vMerge/>
            <w:shd w:val="pct10" w:color="auto" w:fill="auto"/>
          </w:tcPr>
          <w:p w14:paraId="29508462" w14:textId="77777777" w:rsidR="00E311CE" w:rsidRPr="00E311CE" w:rsidRDefault="00E311CE" w:rsidP="00E311CE">
            <w:pPr>
              <w:widowControl w:val="0"/>
              <w:spacing w:before="120" w:after="120"/>
              <w:rPr>
                <w:rFonts w:ascii="Arial" w:hAnsi="Arial" w:cs="Arial"/>
                <w:b/>
                <w:bCs/>
                <w:color w:val="000000"/>
                <w:lang w:eastAsia="en-GB"/>
              </w:rPr>
            </w:pPr>
          </w:p>
        </w:tc>
        <w:tc>
          <w:tcPr>
            <w:tcW w:w="1603" w:type="dxa"/>
            <w:shd w:val="pct10" w:color="auto" w:fill="auto"/>
          </w:tcPr>
          <w:p w14:paraId="10F376C6" w14:textId="796E4090" w:rsidR="00E311CE" w:rsidRPr="00E311CE" w:rsidRDefault="00E311CE" w:rsidP="00E311CE">
            <w:pPr>
              <w:widowControl w:val="0"/>
              <w:spacing w:before="120" w:after="120"/>
              <w:rPr>
                <w:rFonts w:ascii="Arial" w:hAnsi="Arial" w:cs="Arial"/>
                <w:b/>
                <w:bCs/>
                <w:color w:val="000000"/>
                <w:lang w:eastAsia="en-GB"/>
              </w:rPr>
            </w:pPr>
            <w:r w:rsidRPr="00E311CE">
              <w:rPr>
                <w:rFonts w:ascii="Arial" w:hAnsi="Arial" w:cs="Arial"/>
                <w:b/>
                <w:bCs/>
                <w:color w:val="000000"/>
                <w:lang w:eastAsia="en-GB"/>
              </w:rPr>
              <w:t>B3</w:t>
            </w:r>
          </w:p>
        </w:tc>
        <w:tc>
          <w:tcPr>
            <w:tcW w:w="3553" w:type="dxa"/>
            <w:shd w:val="pct10" w:color="auto" w:fill="auto"/>
          </w:tcPr>
          <w:p w14:paraId="6720553B" w14:textId="266BC2B8" w:rsidR="00E311CE" w:rsidRPr="00B522CC" w:rsidRDefault="00E311CE" w:rsidP="00E311CE">
            <w:pPr>
              <w:widowControl w:val="0"/>
              <w:spacing w:before="120" w:after="120"/>
              <w:rPr>
                <w:rFonts w:ascii="Arial" w:hAnsi="Arial" w:cs="Arial"/>
                <w:color w:val="000000"/>
                <w:lang w:eastAsia="en-GB"/>
              </w:rPr>
            </w:pPr>
            <w:r w:rsidRPr="00E311CE">
              <w:rPr>
                <w:rFonts w:ascii="Arial" w:hAnsi="Arial" w:cs="Arial"/>
                <w:color w:val="000000"/>
                <w:lang w:eastAsia="en-GB"/>
              </w:rPr>
              <w:t>Adaptation action plans adopted at sectoral level, or embedded in sectoral strategies</w:t>
            </w:r>
          </w:p>
        </w:tc>
      </w:tr>
      <w:tr w:rsidR="00E311CE" w:rsidRPr="000D27EA" w14:paraId="1263861A" w14:textId="77777777" w:rsidTr="00461572">
        <w:tc>
          <w:tcPr>
            <w:tcW w:w="9988" w:type="dxa"/>
            <w:gridSpan w:val="5"/>
          </w:tcPr>
          <w:p w14:paraId="794620C1" w14:textId="7576A6C1" w:rsidR="00E311CE" w:rsidRPr="000D27EA" w:rsidRDefault="00E311CE" w:rsidP="00D927FC">
            <w:pPr>
              <w:widowControl w:val="0"/>
              <w:spacing w:before="120" w:after="120"/>
              <w:jc w:val="center"/>
              <w:rPr>
                <w:rFonts w:ascii="Arial" w:hAnsi="Arial" w:cs="Arial"/>
                <w:b/>
                <w:sz w:val="24"/>
                <w:szCs w:val="24"/>
              </w:rPr>
            </w:pPr>
            <w:r>
              <w:rPr>
                <w:rFonts w:ascii="Arial" w:hAnsi="Arial" w:cs="Arial"/>
                <w:b/>
                <w:sz w:val="24"/>
                <w:szCs w:val="24"/>
              </w:rPr>
              <w:t xml:space="preserve">Scoreboard </w:t>
            </w:r>
          </w:p>
        </w:tc>
      </w:tr>
      <w:tr w:rsidR="000D6658" w:rsidRPr="000D27EA" w14:paraId="54DF3640" w14:textId="77777777" w:rsidTr="00461572">
        <w:tc>
          <w:tcPr>
            <w:tcW w:w="1549" w:type="dxa"/>
            <w:vAlign w:val="center"/>
          </w:tcPr>
          <w:p w14:paraId="0CAB678C" w14:textId="497AB8DD" w:rsidR="000D6658" w:rsidRPr="000D27EA" w:rsidRDefault="000D6658" w:rsidP="00461572">
            <w:pPr>
              <w:widowControl w:val="0"/>
              <w:spacing w:before="120" w:after="120"/>
              <w:jc w:val="center"/>
              <w:rPr>
                <w:rFonts w:ascii="Arial" w:hAnsi="Arial" w:cs="Arial"/>
                <w:b/>
                <w:bCs/>
                <w:color w:val="000000"/>
                <w:sz w:val="24"/>
                <w:szCs w:val="24"/>
                <w:lang w:eastAsia="en-GB"/>
              </w:rPr>
            </w:pPr>
            <w:r w:rsidRPr="000D27EA">
              <w:rPr>
                <w:rFonts w:ascii="Arial" w:hAnsi="Arial" w:cs="Arial"/>
                <w:b/>
                <w:bCs/>
                <w:color w:val="000000"/>
                <w:sz w:val="24"/>
                <w:szCs w:val="24"/>
                <w:lang w:eastAsia="en-GB"/>
              </w:rPr>
              <w:t>Adaptation policy making process</w:t>
            </w:r>
          </w:p>
        </w:tc>
        <w:tc>
          <w:tcPr>
            <w:tcW w:w="2646" w:type="dxa"/>
            <w:vAlign w:val="center"/>
          </w:tcPr>
          <w:p w14:paraId="12419A04" w14:textId="0412DC6B" w:rsidR="000D6658" w:rsidRPr="000D27EA" w:rsidRDefault="000D6658" w:rsidP="00461572">
            <w:pPr>
              <w:widowControl w:val="0"/>
              <w:spacing w:before="120" w:after="120"/>
              <w:jc w:val="center"/>
              <w:rPr>
                <w:rFonts w:ascii="Arial" w:hAnsi="Arial" w:cs="Arial"/>
                <w:b/>
                <w:bCs/>
                <w:color w:val="000000"/>
                <w:sz w:val="24"/>
                <w:szCs w:val="24"/>
                <w:lang w:eastAsia="en-GB"/>
              </w:rPr>
            </w:pPr>
            <w:r w:rsidRPr="000D27EA">
              <w:rPr>
                <w:rFonts w:ascii="Arial" w:hAnsi="Arial" w:cs="Arial"/>
                <w:b/>
                <w:bCs/>
                <w:color w:val="000000"/>
                <w:sz w:val="24"/>
                <w:szCs w:val="24"/>
                <w:lang w:eastAsia="en-GB"/>
              </w:rPr>
              <w:t>Main area of performance</w:t>
            </w:r>
          </w:p>
        </w:tc>
        <w:tc>
          <w:tcPr>
            <w:tcW w:w="637" w:type="dxa"/>
            <w:vAlign w:val="center"/>
          </w:tcPr>
          <w:p w14:paraId="30CBD6CD" w14:textId="7855E510" w:rsidR="000D6658" w:rsidRPr="000D27EA" w:rsidRDefault="000D6658" w:rsidP="00461572">
            <w:pPr>
              <w:widowControl w:val="0"/>
              <w:spacing w:before="120" w:after="120"/>
              <w:jc w:val="center"/>
              <w:rPr>
                <w:rFonts w:ascii="Arial" w:hAnsi="Arial" w:cs="Arial"/>
                <w:b/>
                <w:bCs/>
                <w:color w:val="000000"/>
                <w:sz w:val="24"/>
                <w:szCs w:val="24"/>
                <w:lang w:eastAsia="en-GB"/>
              </w:rPr>
            </w:pPr>
            <w:r w:rsidRPr="000D27EA">
              <w:rPr>
                <w:rFonts w:ascii="Arial" w:hAnsi="Arial" w:cs="Arial"/>
                <w:b/>
                <w:bCs/>
                <w:color w:val="000000"/>
                <w:sz w:val="24"/>
                <w:szCs w:val="24"/>
                <w:lang w:eastAsia="en-GB"/>
              </w:rPr>
              <w:t>N°</w:t>
            </w:r>
          </w:p>
        </w:tc>
        <w:tc>
          <w:tcPr>
            <w:tcW w:w="5156" w:type="dxa"/>
            <w:gridSpan w:val="2"/>
            <w:vAlign w:val="center"/>
          </w:tcPr>
          <w:p w14:paraId="16FC3484" w14:textId="4467AD7B" w:rsidR="000D6658" w:rsidRPr="000D27EA" w:rsidRDefault="000D6658" w:rsidP="00461572">
            <w:pPr>
              <w:widowControl w:val="0"/>
              <w:spacing w:before="120" w:after="120"/>
              <w:jc w:val="center"/>
              <w:rPr>
                <w:rFonts w:ascii="Arial" w:hAnsi="Arial" w:cs="Arial"/>
                <w:b/>
                <w:bCs/>
                <w:color w:val="000000"/>
                <w:sz w:val="24"/>
                <w:szCs w:val="24"/>
                <w:lang w:eastAsia="en-GB"/>
              </w:rPr>
            </w:pPr>
            <w:r w:rsidRPr="000D27EA">
              <w:rPr>
                <w:rFonts w:ascii="Arial" w:hAnsi="Arial" w:cs="Arial"/>
                <w:b/>
                <w:bCs/>
                <w:color w:val="000000"/>
                <w:sz w:val="24"/>
                <w:szCs w:val="24"/>
                <w:lang w:eastAsia="en-GB"/>
              </w:rPr>
              <w:t>Key domain of relevance</w:t>
            </w:r>
          </w:p>
        </w:tc>
      </w:tr>
      <w:tr w:rsidR="000D6658" w:rsidRPr="000D27EA" w14:paraId="49B6B95E" w14:textId="77777777" w:rsidTr="00461572">
        <w:tc>
          <w:tcPr>
            <w:tcW w:w="1549" w:type="dxa"/>
            <w:vMerge w:val="restart"/>
          </w:tcPr>
          <w:p w14:paraId="4D44645A" w14:textId="3420BF44" w:rsidR="000D6658" w:rsidRPr="000D27EA"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t>Step 1: Preparing the ground for adaptation</w:t>
            </w:r>
          </w:p>
        </w:tc>
        <w:tc>
          <w:tcPr>
            <w:tcW w:w="2646" w:type="dxa"/>
            <w:vMerge w:val="restart"/>
          </w:tcPr>
          <w:p w14:paraId="12D17E84" w14:textId="56671533" w:rsidR="000D6658" w:rsidRPr="000D27EA"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t>1. A country-wide governance system is in place for  adaptation policy making and vertical and horizontal coordination arrangements are in place between governmental bodies</w:t>
            </w:r>
          </w:p>
        </w:tc>
        <w:tc>
          <w:tcPr>
            <w:tcW w:w="637" w:type="dxa"/>
            <w:vAlign w:val="center"/>
          </w:tcPr>
          <w:p w14:paraId="123111F0" w14:textId="79BE4106" w:rsidR="000D6658" w:rsidRPr="000D27EA" w:rsidRDefault="000D6658" w:rsidP="00461572">
            <w:pPr>
              <w:widowControl w:val="0"/>
              <w:spacing w:after="120"/>
              <w:jc w:val="center"/>
              <w:rPr>
                <w:rFonts w:ascii="Arial" w:hAnsi="Arial" w:cs="Arial"/>
                <w:color w:val="000000"/>
                <w:lang w:eastAsia="en-GB"/>
              </w:rPr>
            </w:pPr>
            <w:r w:rsidRPr="000D27EA">
              <w:rPr>
                <w:rFonts w:ascii="Arial" w:hAnsi="Arial" w:cs="Arial"/>
                <w:color w:val="000000"/>
                <w:lang w:eastAsia="en-GB"/>
              </w:rPr>
              <w:t>1a</w:t>
            </w:r>
          </w:p>
        </w:tc>
        <w:tc>
          <w:tcPr>
            <w:tcW w:w="5156" w:type="dxa"/>
            <w:gridSpan w:val="2"/>
          </w:tcPr>
          <w:p w14:paraId="7F89F21C" w14:textId="51D711CF" w:rsidR="000D6658" w:rsidRPr="000D27EA"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t>A central administration body officially in charge of adaptation policy making</w:t>
            </w:r>
          </w:p>
        </w:tc>
      </w:tr>
      <w:tr w:rsidR="000D6658" w:rsidRPr="000D27EA" w14:paraId="25DD2FDD" w14:textId="77777777" w:rsidTr="00461572">
        <w:tc>
          <w:tcPr>
            <w:tcW w:w="1549" w:type="dxa"/>
            <w:vMerge/>
          </w:tcPr>
          <w:p w14:paraId="231C6300" w14:textId="77777777" w:rsidR="000D6658" w:rsidRPr="000D27EA" w:rsidRDefault="000D6658" w:rsidP="00461572">
            <w:pPr>
              <w:widowControl w:val="0"/>
              <w:spacing w:after="120"/>
              <w:rPr>
                <w:rFonts w:ascii="Arial" w:hAnsi="Arial" w:cs="Arial"/>
                <w:color w:val="000000"/>
                <w:lang w:eastAsia="en-GB"/>
              </w:rPr>
            </w:pPr>
          </w:p>
        </w:tc>
        <w:tc>
          <w:tcPr>
            <w:tcW w:w="2646" w:type="dxa"/>
            <w:vMerge/>
          </w:tcPr>
          <w:p w14:paraId="3A912BED" w14:textId="53CAB8B2" w:rsidR="000D6658" w:rsidRPr="000D27EA" w:rsidRDefault="000D6658" w:rsidP="00461572">
            <w:pPr>
              <w:widowControl w:val="0"/>
              <w:spacing w:after="120"/>
              <w:rPr>
                <w:rFonts w:ascii="Arial" w:hAnsi="Arial" w:cs="Arial"/>
                <w:color w:val="000000"/>
                <w:lang w:eastAsia="en-GB"/>
              </w:rPr>
            </w:pPr>
          </w:p>
        </w:tc>
        <w:tc>
          <w:tcPr>
            <w:tcW w:w="637" w:type="dxa"/>
            <w:vAlign w:val="center"/>
          </w:tcPr>
          <w:p w14:paraId="6649A05A" w14:textId="09EF40AF" w:rsidR="000D6658" w:rsidRPr="000D27EA" w:rsidRDefault="000D6658" w:rsidP="00461572">
            <w:pPr>
              <w:widowControl w:val="0"/>
              <w:spacing w:after="120"/>
              <w:jc w:val="center"/>
              <w:rPr>
                <w:rFonts w:ascii="Arial" w:hAnsi="Arial" w:cs="Arial"/>
                <w:color w:val="000000"/>
                <w:lang w:eastAsia="en-GB"/>
              </w:rPr>
            </w:pPr>
            <w:r w:rsidRPr="000D27EA">
              <w:rPr>
                <w:rFonts w:ascii="Arial" w:hAnsi="Arial" w:cs="Arial"/>
                <w:color w:val="000000"/>
                <w:lang w:eastAsia="en-GB"/>
              </w:rPr>
              <w:t>1b</w:t>
            </w:r>
          </w:p>
          <w:p w14:paraId="01F229A3" w14:textId="2247209B" w:rsidR="000D6658" w:rsidRPr="000D27EA" w:rsidRDefault="000D6658" w:rsidP="00461572">
            <w:pPr>
              <w:widowControl w:val="0"/>
              <w:spacing w:after="120"/>
              <w:jc w:val="center"/>
              <w:rPr>
                <w:rFonts w:ascii="Arial" w:hAnsi="Arial" w:cs="Arial"/>
                <w:color w:val="000000"/>
                <w:lang w:eastAsia="en-GB"/>
              </w:rPr>
            </w:pPr>
          </w:p>
        </w:tc>
        <w:tc>
          <w:tcPr>
            <w:tcW w:w="5156" w:type="dxa"/>
            <w:gridSpan w:val="2"/>
          </w:tcPr>
          <w:p w14:paraId="42340790" w14:textId="47D6F522" w:rsidR="000D6658" w:rsidRPr="000D27EA" w:rsidRDefault="000D6658" w:rsidP="00461572">
            <w:pPr>
              <w:widowControl w:val="0"/>
              <w:spacing w:after="120"/>
              <w:rPr>
                <w:rFonts w:ascii="Arial" w:hAnsi="Arial" w:cs="Arial"/>
                <w:color w:val="000000"/>
                <w:lang w:eastAsia="en-GB"/>
              </w:rPr>
            </w:pPr>
            <w:r w:rsidRPr="000D27EA">
              <w:rPr>
                <w:rFonts w:ascii="Arial" w:hAnsi="Arial" w:cs="Arial"/>
                <w:b/>
                <w:color w:val="000000"/>
                <w:lang w:eastAsia="en-GB"/>
              </w:rPr>
              <w:t>Horizontal</w:t>
            </w:r>
            <w:r w:rsidRPr="000D27EA">
              <w:rPr>
                <w:rFonts w:ascii="Arial" w:hAnsi="Arial" w:cs="Arial"/>
                <w:color w:val="000000"/>
                <w:lang w:eastAsia="en-GB"/>
              </w:rPr>
              <w:t xml:space="preserve"> (i.e. sectoral) coordination mechanisms exist within the governance system, with division of responsibilities</w:t>
            </w:r>
          </w:p>
        </w:tc>
      </w:tr>
      <w:tr w:rsidR="000D6658" w:rsidRPr="000D27EA" w14:paraId="58E3E885" w14:textId="77777777" w:rsidTr="00461572">
        <w:tc>
          <w:tcPr>
            <w:tcW w:w="1549" w:type="dxa"/>
            <w:vMerge/>
          </w:tcPr>
          <w:p w14:paraId="389FCE99" w14:textId="77777777" w:rsidR="000D6658" w:rsidRPr="000D27EA" w:rsidRDefault="000D6658" w:rsidP="00461572">
            <w:pPr>
              <w:widowControl w:val="0"/>
              <w:spacing w:after="120"/>
              <w:rPr>
                <w:rFonts w:ascii="Arial" w:hAnsi="Arial" w:cs="Arial"/>
                <w:color w:val="000000"/>
                <w:lang w:eastAsia="en-GB"/>
              </w:rPr>
            </w:pPr>
          </w:p>
        </w:tc>
        <w:tc>
          <w:tcPr>
            <w:tcW w:w="2646" w:type="dxa"/>
            <w:vMerge/>
          </w:tcPr>
          <w:p w14:paraId="67A650B8" w14:textId="130EC4C7" w:rsidR="000D6658" w:rsidRPr="000D27EA" w:rsidRDefault="000D6658" w:rsidP="00461572">
            <w:pPr>
              <w:widowControl w:val="0"/>
              <w:spacing w:after="120"/>
              <w:rPr>
                <w:rFonts w:ascii="Arial" w:hAnsi="Arial" w:cs="Arial"/>
                <w:color w:val="000000"/>
                <w:lang w:eastAsia="en-GB"/>
              </w:rPr>
            </w:pPr>
          </w:p>
        </w:tc>
        <w:tc>
          <w:tcPr>
            <w:tcW w:w="637" w:type="dxa"/>
            <w:vAlign w:val="center"/>
          </w:tcPr>
          <w:p w14:paraId="3181ECC8" w14:textId="6E4EFF55" w:rsidR="000D6658" w:rsidRPr="000D27EA" w:rsidRDefault="000D6658" w:rsidP="00461572">
            <w:pPr>
              <w:widowControl w:val="0"/>
              <w:spacing w:after="120"/>
              <w:jc w:val="center"/>
              <w:rPr>
                <w:rFonts w:ascii="Arial" w:hAnsi="Arial" w:cs="Arial"/>
                <w:color w:val="000000"/>
                <w:lang w:eastAsia="en-GB"/>
              </w:rPr>
            </w:pPr>
            <w:r w:rsidRPr="000D27EA">
              <w:rPr>
                <w:rFonts w:ascii="Arial" w:hAnsi="Arial" w:cs="Arial"/>
                <w:color w:val="000000"/>
                <w:lang w:eastAsia="en-GB"/>
              </w:rPr>
              <w:t>1c</w:t>
            </w:r>
          </w:p>
        </w:tc>
        <w:tc>
          <w:tcPr>
            <w:tcW w:w="5156" w:type="dxa"/>
            <w:gridSpan w:val="2"/>
          </w:tcPr>
          <w:p w14:paraId="606570AC" w14:textId="01EDC776" w:rsidR="000D6658" w:rsidRPr="000D27EA" w:rsidRDefault="000D6658" w:rsidP="00461572">
            <w:pPr>
              <w:widowControl w:val="0"/>
              <w:spacing w:after="120"/>
              <w:rPr>
                <w:rFonts w:ascii="Arial" w:hAnsi="Arial" w:cs="Arial"/>
                <w:color w:val="000000"/>
                <w:lang w:eastAsia="en-GB"/>
              </w:rPr>
            </w:pPr>
            <w:r w:rsidRPr="000D27EA">
              <w:rPr>
                <w:rFonts w:ascii="Arial" w:hAnsi="Arial" w:cs="Arial"/>
                <w:b/>
                <w:color w:val="000000"/>
                <w:lang w:eastAsia="en-GB"/>
              </w:rPr>
              <w:t>Vertica</w:t>
            </w:r>
            <w:r w:rsidRPr="000D27EA">
              <w:rPr>
                <w:rFonts w:ascii="Arial" w:hAnsi="Arial" w:cs="Arial"/>
                <w:color w:val="000000"/>
                <w:lang w:eastAsia="en-GB"/>
              </w:rPr>
              <w:t>l (i.e. across levels of administration) coordination mechanisms exist within the governance system, enabling lower levels of administration to influence policy making.</w:t>
            </w:r>
          </w:p>
        </w:tc>
      </w:tr>
      <w:tr w:rsidR="000D6658" w:rsidRPr="000D27EA" w14:paraId="1BB09D23" w14:textId="77777777" w:rsidTr="00461572">
        <w:tc>
          <w:tcPr>
            <w:tcW w:w="1549" w:type="dxa"/>
            <w:vMerge/>
          </w:tcPr>
          <w:p w14:paraId="6AD5D727" w14:textId="77777777" w:rsidR="000D6658" w:rsidRPr="000D27EA" w:rsidRDefault="000D6658" w:rsidP="00461572">
            <w:pPr>
              <w:widowControl w:val="0"/>
              <w:spacing w:after="120"/>
              <w:rPr>
                <w:rFonts w:ascii="Arial" w:hAnsi="Arial" w:cs="Arial"/>
                <w:color w:val="000000"/>
                <w:lang w:eastAsia="en-GB"/>
              </w:rPr>
            </w:pPr>
          </w:p>
        </w:tc>
        <w:tc>
          <w:tcPr>
            <w:tcW w:w="2646" w:type="dxa"/>
            <w:vMerge w:val="restart"/>
          </w:tcPr>
          <w:p w14:paraId="56ADB2C6" w14:textId="059D447C" w:rsidR="000D6658" w:rsidRPr="000D27EA"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t>2. Stakeholders (e.g. interest groups, scientists and general public) are involved in the preparation of adaptation policies</w:t>
            </w:r>
          </w:p>
        </w:tc>
        <w:tc>
          <w:tcPr>
            <w:tcW w:w="637" w:type="dxa"/>
            <w:vAlign w:val="center"/>
          </w:tcPr>
          <w:p w14:paraId="3A5C1FD1" w14:textId="727391CF" w:rsidR="000D6658" w:rsidRPr="000D27EA" w:rsidRDefault="000D6658" w:rsidP="00461572">
            <w:pPr>
              <w:widowControl w:val="0"/>
              <w:spacing w:after="120"/>
              <w:jc w:val="center"/>
              <w:rPr>
                <w:rFonts w:ascii="Arial" w:hAnsi="Arial" w:cs="Arial"/>
                <w:color w:val="000000"/>
                <w:lang w:eastAsia="en-GB"/>
              </w:rPr>
            </w:pPr>
            <w:r w:rsidRPr="000D27EA">
              <w:rPr>
                <w:rFonts w:ascii="Arial" w:hAnsi="Arial" w:cs="Arial"/>
                <w:color w:val="000000"/>
                <w:lang w:eastAsia="en-GB"/>
              </w:rPr>
              <w:t>2a</w:t>
            </w:r>
          </w:p>
        </w:tc>
        <w:tc>
          <w:tcPr>
            <w:tcW w:w="5156" w:type="dxa"/>
            <w:gridSpan w:val="2"/>
          </w:tcPr>
          <w:p w14:paraId="7B3D652C" w14:textId="42D31182" w:rsidR="000D6658" w:rsidRPr="000D27EA"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t>A dedicated process is in place to facilitate stakeholders' involvement in the preparation of adaptation policies</w:t>
            </w:r>
          </w:p>
        </w:tc>
      </w:tr>
      <w:tr w:rsidR="000D6658" w:rsidRPr="000D27EA" w14:paraId="389EEDA9" w14:textId="77777777" w:rsidTr="00461572">
        <w:tc>
          <w:tcPr>
            <w:tcW w:w="1549" w:type="dxa"/>
            <w:vMerge/>
            <w:tcBorders>
              <w:bottom w:val="single" w:sz="4" w:space="0" w:color="auto"/>
            </w:tcBorders>
          </w:tcPr>
          <w:p w14:paraId="64431C1C" w14:textId="77777777" w:rsidR="000D6658" w:rsidRPr="000D27EA" w:rsidRDefault="000D6658" w:rsidP="00461572">
            <w:pPr>
              <w:widowControl w:val="0"/>
              <w:spacing w:after="120"/>
              <w:rPr>
                <w:rFonts w:ascii="Arial" w:hAnsi="Arial" w:cs="Arial"/>
                <w:color w:val="000000"/>
                <w:lang w:eastAsia="en-GB"/>
              </w:rPr>
            </w:pPr>
          </w:p>
        </w:tc>
        <w:tc>
          <w:tcPr>
            <w:tcW w:w="2646" w:type="dxa"/>
            <w:vMerge/>
          </w:tcPr>
          <w:p w14:paraId="6624BC32" w14:textId="28ABDCD2" w:rsidR="000D6658" w:rsidRPr="000D27EA" w:rsidRDefault="000D6658" w:rsidP="00461572">
            <w:pPr>
              <w:widowControl w:val="0"/>
              <w:spacing w:after="120"/>
              <w:rPr>
                <w:rFonts w:ascii="Arial" w:hAnsi="Arial" w:cs="Arial"/>
                <w:color w:val="000000"/>
                <w:lang w:eastAsia="en-GB"/>
              </w:rPr>
            </w:pPr>
          </w:p>
        </w:tc>
        <w:tc>
          <w:tcPr>
            <w:tcW w:w="637" w:type="dxa"/>
            <w:vAlign w:val="center"/>
          </w:tcPr>
          <w:p w14:paraId="618906BA" w14:textId="60B04A71" w:rsidR="000D6658" w:rsidRPr="000D27EA" w:rsidRDefault="000D6658" w:rsidP="00461572">
            <w:pPr>
              <w:widowControl w:val="0"/>
              <w:spacing w:after="120"/>
              <w:jc w:val="center"/>
              <w:rPr>
                <w:rFonts w:ascii="Arial" w:hAnsi="Arial" w:cs="Arial"/>
                <w:color w:val="000000"/>
                <w:lang w:eastAsia="en-GB"/>
              </w:rPr>
            </w:pPr>
            <w:r w:rsidRPr="000D27EA">
              <w:rPr>
                <w:rFonts w:ascii="Arial" w:hAnsi="Arial" w:cs="Arial"/>
                <w:color w:val="000000"/>
                <w:lang w:eastAsia="en-GB"/>
              </w:rPr>
              <w:t>2b</w:t>
            </w:r>
          </w:p>
        </w:tc>
        <w:tc>
          <w:tcPr>
            <w:tcW w:w="5156" w:type="dxa"/>
            <w:gridSpan w:val="2"/>
          </w:tcPr>
          <w:p w14:paraId="60D4048E" w14:textId="6A2CBFC1" w:rsidR="000D6658" w:rsidRPr="000D27EA"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t>Transboundary cooperation is planned to address co</w:t>
            </w:r>
            <w:bookmarkStart w:id="0" w:name="_GoBack"/>
            <w:bookmarkEnd w:id="0"/>
            <w:r w:rsidRPr="000D27EA">
              <w:rPr>
                <w:rFonts w:ascii="Arial" w:hAnsi="Arial" w:cs="Arial"/>
                <w:color w:val="000000"/>
                <w:lang w:eastAsia="en-GB"/>
              </w:rPr>
              <w:t>mmon challenges with relevant countries</w:t>
            </w:r>
          </w:p>
        </w:tc>
      </w:tr>
      <w:tr w:rsidR="000D6658" w:rsidRPr="000D27EA" w14:paraId="5435DB17" w14:textId="77777777" w:rsidTr="00461572">
        <w:tc>
          <w:tcPr>
            <w:tcW w:w="1549" w:type="dxa"/>
            <w:vMerge w:val="restart"/>
            <w:tcBorders>
              <w:bottom w:val="nil"/>
            </w:tcBorders>
          </w:tcPr>
          <w:p w14:paraId="223DE76D" w14:textId="7CB11667" w:rsidR="000D6658" w:rsidRPr="000D27EA" w:rsidRDefault="000D6658" w:rsidP="00461572">
            <w:pPr>
              <w:keepNext/>
              <w:spacing w:after="120"/>
              <w:rPr>
                <w:rFonts w:ascii="Arial" w:hAnsi="Arial" w:cs="Arial"/>
                <w:color w:val="000000"/>
                <w:lang w:eastAsia="en-GB"/>
              </w:rPr>
            </w:pPr>
            <w:r w:rsidRPr="000D27EA">
              <w:rPr>
                <w:rFonts w:ascii="Arial" w:hAnsi="Arial" w:cs="Arial"/>
                <w:color w:val="000000"/>
                <w:lang w:eastAsia="en-GB"/>
              </w:rPr>
              <w:lastRenderedPageBreak/>
              <w:t>Step 2: Assessing risks and vulnerabilities to climate change</w:t>
            </w:r>
          </w:p>
        </w:tc>
        <w:tc>
          <w:tcPr>
            <w:tcW w:w="2646" w:type="dxa"/>
            <w:vMerge w:val="restart"/>
          </w:tcPr>
          <w:p w14:paraId="106E9AA3" w14:textId="057F569D" w:rsidR="000D6658" w:rsidRPr="000D27EA" w:rsidRDefault="000D6658" w:rsidP="00461572">
            <w:pPr>
              <w:keepNext/>
              <w:spacing w:after="120"/>
              <w:rPr>
                <w:rFonts w:ascii="Arial" w:hAnsi="Arial" w:cs="Arial"/>
                <w:color w:val="000000"/>
                <w:lang w:eastAsia="en-GB"/>
              </w:rPr>
            </w:pPr>
            <w:r w:rsidRPr="000D27EA">
              <w:rPr>
                <w:rFonts w:ascii="Arial" w:hAnsi="Arial" w:cs="Arial"/>
                <w:color w:val="000000"/>
                <w:lang w:eastAsia="en-GB"/>
              </w:rPr>
              <w:t>3. Systems are in place to monitor and assess current and projected climate change, impacts and vulnerability</w:t>
            </w:r>
          </w:p>
        </w:tc>
        <w:tc>
          <w:tcPr>
            <w:tcW w:w="637" w:type="dxa"/>
            <w:vAlign w:val="center"/>
          </w:tcPr>
          <w:p w14:paraId="441032FA" w14:textId="2A54C0A1" w:rsidR="000D6658" w:rsidRPr="000D27EA" w:rsidRDefault="000D6658" w:rsidP="00461572">
            <w:pPr>
              <w:keepNext/>
              <w:spacing w:after="120" w:line="276" w:lineRule="auto"/>
              <w:jc w:val="center"/>
              <w:rPr>
                <w:rFonts w:ascii="Arial" w:hAnsi="Arial" w:cs="Arial"/>
                <w:color w:val="000000"/>
                <w:lang w:eastAsia="en-GB"/>
              </w:rPr>
            </w:pPr>
            <w:r w:rsidRPr="000D27EA">
              <w:rPr>
                <w:rFonts w:ascii="Arial" w:hAnsi="Arial" w:cs="Arial"/>
                <w:color w:val="000000"/>
                <w:lang w:eastAsia="en-GB"/>
              </w:rPr>
              <w:t>3a</w:t>
            </w:r>
          </w:p>
        </w:tc>
        <w:tc>
          <w:tcPr>
            <w:tcW w:w="5156" w:type="dxa"/>
            <w:gridSpan w:val="2"/>
          </w:tcPr>
          <w:p w14:paraId="2889B016" w14:textId="77777777" w:rsidR="000D6658" w:rsidRPr="000D27EA" w:rsidRDefault="000D6658" w:rsidP="00461572">
            <w:pPr>
              <w:keepNext/>
              <w:spacing w:after="120"/>
              <w:rPr>
                <w:rFonts w:ascii="Arial" w:hAnsi="Arial" w:cs="Arial"/>
                <w:color w:val="000000"/>
                <w:lang w:eastAsia="en-GB"/>
              </w:rPr>
            </w:pPr>
            <w:r w:rsidRPr="000D27EA">
              <w:rPr>
                <w:rFonts w:ascii="Arial" w:hAnsi="Arial" w:cs="Arial"/>
                <w:color w:val="000000"/>
                <w:lang w:eastAsia="en-GB"/>
              </w:rPr>
              <w:t>Observation systems are in place to monitor climate change, extreme climate events and their impacts</w:t>
            </w:r>
            <w:r w:rsidRPr="000D27EA">
              <w:rPr>
                <w:rFonts w:ascii="Arial" w:hAnsi="Arial" w:cs="Arial"/>
                <w:color w:val="000000"/>
                <w:u w:val="single"/>
                <w:lang w:eastAsia="en-GB"/>
              </w:rPr>
              <w:t xml:space="preserve"> </w:t>
            </w:r>
          </w:p>
        </w:tc>
      </w:tr>
      <w:tr w:rsidR="000D6658" w:rsidRPr="000D27EA" w14:paraId="199F7C23" w14:textId="77777777" w:rsidTr="00461572">
        <w:tc>
          <w:tcPr>
            <w:tcW w:w="1549" w:type="dxa"/>
            <w:vMerge/>
            <w:tcBorders>
              <w:bottom w:val="nil"/>
            </w:tcBorders>
          </w:tcPr>
          <w:p w14:paraId="349E3CFD" w14:textId="77777777" w:rsidR="000D6658" w:rsidRPr="000D27EA" w:rsidRDefault="000D6658" w:rsidP="00461572">
            <w:pPr>
              <w:widowControl w:val="0"/>
              <w:spacing w:after="120"/>
              <w:rPr>
                <w:rFonts w:ascii="Arial" w:hAnsi="Arial" w:cs="Arial"/>
                <w:color w:val="000000"/>
                <w:lang w:eastAsia="en-GB"/>
              </w:rPr>
            </w:pPr>
          </w:p>
        </w:tc>
        <w:tc>
          <w:tcPr>
            <w:tcW w:w="2646" w:type="dxa"/>
            <w:vMerge/>
          </w:tcPr>
          <w:p w14:paraId="6EA7E513" w14:textId="3BE3FE44" w:rsidR="000D6658" w:rsidRPr="000D27EA" w:rsidRDefault="000D6658" w:rsidP="00461572">
            <w:pPr>
              <w:widowControl w:val="0"/>
              <w:spacing w:after="120"/>
              <w:rPr>
                <w:rFonts w:ascii="Arial" w:hAnsi="Arial" w:cs="Arial"/>
                <w:color w:val="000000"/>
                <w:lang w:eastAsia="en-GB"/>
              </w:rPr>
            </w:pPr>
          </w:p>
        </w:tc>
        <w:tc>
          <w:tcPr>
            <w:tcW w:w="637" w:type="dxa"/>
            <w:vAlign w:val="center"/>
          </w:tcPr>
          <w:p w14:paraId="3122DE1E" w14:textId="7E2F10E4" w:rsidR="000D6658" w:rsidRPr="000D27EA" w:rsidRDefault="000D6658" w:rsidP="00461572">
            <w:pPr>
              <w:widowControl w:val="0"/>
              <w:spacing w:after="120" w:line="276" w:lineRule="auto"/>
              <w:jc w:val="center"/>
              <w:rPr>
                <w:rFonts w:ascii="Arial" w:hAnsi="Arial" w:cs="Arial"/>
                <w:color w:val="000000"/>
                <w:lang w:eastAsia="en-GB"/>
              </w:rPr>
            </w:pPr>
            <w:r w:rsidRPr="000D27EA">
              <w:rPr>
                <w:rFonts w:ascii="Arial" w:hAnsi="Arial" w:cs="Arial"/>
                <w:color w:val="000000"/>
                <w:lang w:eastAsia="en-GB"/>
              </w:rPr>
              <w:t>3b</w:t>
            </w:r>
          </w:p>
        </w:tc>
        <w:tc>
          <w:tcPr>
            <w:tcW w:w="5156" w:type="dxa"/>
            <w:gridSpan w:val="2"/>
          </w:tcPr>
          <w:p w14:paraId="770EB2DD" w14:textId="2A022433" w:rsidR="000D6658" w:rsidRPr="000D27EA"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t>Scenarios and projections are used to assess the economic, social and environmental impacts of climate change, taking into account geographical specificities and are based on latest best available science (e.g. in response to revised IPCC assessments)</w:t>
            </w:r>
          </w:p>
        </w:tc>
      </w:tr>
      <w:tr w:rsidR="000D6658" w:rsidRPr="000D27EA" w14:paraId="33CAC992" w14:textId="77777777" w:rsidTr="00461572">
        <w:tc>
          <w:tcPr>
            <w:tcW w:w="1549" w:type="dxa"/>
            <w:vMerge/>
            <w:tcBorders>
              <w:bottom w:val="nil"/>
            </w:tcBorders>
          </w:tcPr>
          <w:p w14:paraId="6883738C" w14:textId="77777777" w:rsidR="000D6658" w:rsidRPr="000D27EA" w:rsidRDefault="000D6658" w:rsidP="00461572">
            <w:pPr>
              <w:keepNext/>
              <w:spacing w:after="120"/>
              <w:rPr>
                <w:rFonts w:ascii="Arial" w:hAnsi="Arial" w:cs="Arial"/>
                <w:color w:val="000000"/>
                <w:lang w:eastAsia="en-GB"/>
              </w:rPr>
            </w:pPr>
          </w:p>
        </w:tc>
        <w:tc>
          <w:tcPr>
            <w:tcW w:w="2646" w:type="dxa"/>
            <w:vMerge/>
          </w:tcPr>
          <w:p w14:paraId="786E5C43" w14:textId="359677EC" w:rsidR="000D6658" w:rsidRPr="000D27EA" w:rsidRDefault="000D6658" w:rsidP="00461572">
            <w:pPr>
              <w:keepNext/>
              <w:spacing w:after="120"/>
              <w:rPr>
                <w:rFonts w:ascii="Arial" w:hAnsi="Arial" w:cs="Arial"/>
                <w:color w:val="000000"/>
                <w:lang w:eastAsia="en-GB"/>
              </w:rPr>
            </w:pPr>
          </w:p>
        </w:tc>
        <w:tc>
          <w:tcPr>
            <w:tcW w:w="637" w:type="dxa"/>
            <w:vAlign w:val="center"/>
          </w:tcPr>
          <w:p w14:paraId="166A15F2" w14:textId="3A0BF979" w:rsidR="000D6658" w:rsidRPr="000D27EA" w:rsidRDefault="000D6658" w:rsidP="00461572">
            <w:pPr>
              <w:keepNext/>
              <w:spacing w:after="120"/>
              <w:jc w:val="center"/>
              <w:rPr>
                <w:rFonts w:ascii="Arial" w:hAnsi="Arial" w:cs="Arial"/>
                <w:color w:val="000000"/>
                <w:lang w:eastAsia="en-GB"/>
              </w:rPr>
            </w:pPr>
            <w:r w:rsidRPr="000D27EA">
              <w:rPr>
                <w:rFonts w:ascii="Arial" w:hAnsi="Arial" w:cs="Arial"/>
                <w:color w:val="000000"/>
                <w:lang w:eastAsia="en-GB"/>
              </w:rPr>
              <w:t>3c</w:t>
            </w:r>
          </w:p>
        </w:tc>
        <w:tc>
          <w:tcPr>
            <w:tcW w:w="5156" w:type="dxa"/>
            <w:gridSpan w:val="2"/>
          </w:tcPr>
          <w:p w14:paraId="58776DB0" w14:textId="44FBB576" w:rsidR="000D6658" w:rsidRPr="000D27EA" w:rsidRDefault="000D6658" w:rsidP="00461572">
            <w:pPr>
              <w:keepNext/>
              <w:spacing w:after="120"/>
              <w:rPr>
                <w:rFonts w:ascii="Arial" w:hAnsi="Arial" w:cs="Arial"/>
                <w:color w:val="000000"/>
                <w:lang w:eastAsia="en-GB"/>
              </w:rPr>
            </w:pPr>
            <w:r w:rsidRPr="000D27EA">
              <w:rPr>
                <w:rFonts w:ascii="Arial" w:hAnsi="Arial" w:cs="Arial"/>
                <w:color w:val="000000"/>
                <w:lang w:eastAsia="en-GB"/>
              </w:rPr>
              <w:t xml:space="preserve">Sound climate risks/vulnerability assessments for priority vulnerable sectors are undertaken to support adaptation decision making.  The selection of vulnerable sectors may be based on a lighter pre-screening vulnerability assessment. </w:t>
            </w:r>
          </w:p>
        </w:tc>
      </w:tr>
      <w:tr w:rsidR="000D6658" w:rsidRPr="000D27EA" w14:paraId="64AE1A32" w14:textId="77777777" w:rsidTr="00461572">
        <w:tc>
          <w:tcPr>
            <w:tcW w:w="1549" w:type="dxa"/>
            <w:vMerge/>
            <w:tcBorders>
              <w:bottom w:val="nil"/>
            </w:tcBorders>
          </w:tcPr>
          <w:p w14:paraId="64E069DE" w14:textId="77777777" w:rsidR="000D6658" w:rsidRPr="000D27EA" w:rsidRDefault="000D6658" w:rsidP="00461572">
            <w:pPr>
              <w:widowControl w:val="0"/>
              <w:spacing w:after="120"/>
              <w:rPr>
                <w:rFonts w:ascii="Arial" w:hAnsi="Arial" w:cs="Arial"/>
                <w:color w:val="000000"/>
                <w:lang w:eastAsia="en-GB"/>
              </w:rPr>
            </w:pPr>
          </w:p>
        </w:tc>
        <w:tc>
          <w:tcPr>
            <w:tcW w:w="2646" w:type="dxa"/>
            <w:vMerge/>
          </w:tcPr>
          <w:p w14:paraId="0AA86302" w14:textId="15F4A165" w:rsidR="000D6658" w:rsidRPr="000D27EA" w:rsidRDefault="000D6658" w:rsidP="00461572">
            <w:pPr>
              <w:widowControl w:val="0"/>
              <w:spacing w:after="120"/>
              <w:rPr>
                <w:rFonts w:ascii="Arial" w:hAnsi="Arial" w:cs="Arial"/>
                <w:color w:val="000000"/>
                <w:lang w:eastAsia="en-GB"/>
              </w:rPr>
            </w:pPr>
          </w:p>
        </w:tc>
        <w:tc>
          <w:tcPr>
            <w:tcW w:w="637" w:type="dxa"/>
            <w:vAlign w:val="center"/>
          </w:tcPr>
          <w:p w14:paraId="05A3AD60" w14:textId="3CD67738" w:rsidR="000D6658" w:rsidRPr="000D27EA" w:rsidRDefault="000D6658" w:rsidP="00461572">
            <w:pPr>
              <w:widowControl w:val="0"/>
              <w:spacing w:after="120"/>
              <w:jc w:val="center"/>
              <w:rPr>
                <w:rFonts w:ascii="Arial" w:hAnsi="Arial" w:cs="Arial"/>
                <w:color w:val="000000"/>
                <w:lang w:eastAsia="en-GB"/>
              </w:rPr>
            </w:pPr>
            <w:r w:rsidRPr="000D27EA">
              <w:rPr>
                <w:rFonts w:ascii="Arial" w:hAnsi="Arial" w:cs="Arial"/>
                <w:color w:val="000000"/>
                <w:lang w:eastAsia="en-GB"/>
              </w:rPr>
              <w:t>3d</w:t>
            </w:r>
          </w:p>
        </w:tc>
        <w:tc>
          <w:tcPr>
            <w:tcW w:w="5156" w:type="dxa"/>
            <w:gridSpan w:val="2"/>
          </w:tcPr>
          <w:p w14:paraId="4FFE268A" w14:textId="77777777" w:rsidR="000D6658" w:rsidRPr="000D27EA"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t>Climate risks/vulnerability assessments take transboundary risks into account, when relevant</w:t>
            </w:r>
          </w:p>
        </w:tc>
      </w:tr>
      <w:tr w:rsidR="000D6658" w:rsidRPr="000D27EA" w14:paraId="47EC81A9" w14:textId="77777777" w:rsidTr="00461572">
        <w:tc>
          <w:tcPr>
            <w:tcW w:w="1549" w:type="dxa"/>
            <w:vMerge/>
            <w:tcBorders>
              <w:bottom w:val="nil"/>
            </w:tcBorders>
          </w:tcPr>
          <w:p w14:paraId="10C8ED82" w14:textId="77777777" w:rsidR="000D6658" w:rsidRPr="000D27EA" w:rsidRDefault="000D6658" w:rsidP="00461572">
            <w:pPr>
              <w:widowControl w:val="0"/>
              <w:spacing w:after="120"/>
              <w:rPr>
                <w:rFonts w:ascii="Arial" w:hAnsi="Arial" w:cs="Arial"/>
                <w:color w:val="000000"/>
                <w:lang w:eastAsia="en-GB"/>
              </w:rPr>
            </w:pPr>
          </w:p>
        </w:tc>
        <w:tc>
          <w:tcPr>
            <w:tcW w:w="2646" w:type="dxa"/>
          </w:tcPr>
          <w:p w14:paraId="6939F623" w14:textId="012A7D76" w:rsidR="000D6658" w:rsidRPr="000D27EA"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t>4. Knowledge gaps on climate change and climate change adaptation are tackled</w:t>
            </w:r>
          </w:p>
        </w:tc>
        <w:tc>
          <w:tcPr>
            <w:tcW w:w="637" w:type="dxa"/>
            <w:vAlign w:val="center"/>
          </w:tcPr>
          <w:p w14:paraId="3EF0F20C" w14:textId="66365588" w:rsidR="000D6658" w:rsidRPr="000D27EA" w:rsidRDefault="000D6658" w:rsidP="00461572">
            <w:pPr>
              <w:widowControl w:val="0"/>
              <w:spacing w:after="120"/>
              <w:jc w:val="center"/>
              <w:rPr>
                <w:rFonts w:ascii="Arial" w:hAnsi="Arial" w:cs="Arial"/>
                <w:color w:val="000000"/>
                <w:lang w:eastAsia="en-GB"/>
              </w:rPr>
            </w:pPr>
            <w:r w:rsidRPr="000D27EA">
              <w:rPr>
                <w:rFonts w:ascii="Arial" w:hAnsi="Arial" w:cs="Arial"/>
                <w:color w:val="000000"/>
                <w:lang w:eastAsia="en-GB"/>
              </w:rPr>
              <w:t>4a</w:t>
            </w:r>
          </w:p>
        </w:tc>
        <w:tc>
          <w:tcPr>
            <w:tcW w:w="5156" w:type="dxa"/>
            <w:gridSpan w:val="2"/>
          </w:tcPr>
          <w:p w14:paraId="3C8293C2" w14:textId="1CC49BE1" w:rsidR="000D6658" w:rsidRPr="000D27EA" w:rsidRDefault="000D6658" w:rsidP="00461572">
            <w:pPr>
              <w:widowControl w:val="0"/>
              <w:spacing w:after="120"/>
              <w:rPr>
                <w:rFonts w:ascii="Arial" w:hAnsi="Arial" w:cs="Arial"/>
                <w:color w:val="000000"/>
                <w:lang w:eastAsia="en-GB"/>
              </w:rPr>
            </w:pPr>
            <w:r w:rsidRPr="000D27EA">
              <w:rPr>
                <w:rFonts w:ascii="Arial" w:hAnsi="Arial" w:cs="Arial"/>
              </w:rPr>
              <w:t>Work is being carried out to identify, prioritise and address the knowledge gaps</w:t>
            </w:r>
          </w:p>
        </w:tc>
      </w:tr>
      <w:tr w:rsidR="000D6658" w:rsidRPr="000D27EA" w14:paraId="19C46A9B" w14:textId="77777777" w:rsidTr="00461572">
        <w:trPr>
          <w:trHeight w:val="994"/>
        </w:trPr>
        <w:tc>
          <w:tcPr>
            <w:tcW w:w="1549" w:type="dxa"/>
            <w:tcBorders>
              <w:top w:val="nil"/>
              <w:bottom w:val="nil"/>
            </w:tcBorders>
          </w:tcPr>
          <w:p w14:paraId="7034863E" w14:textId="77777777" w:rsidR="000D6658" w:rsidRPr="000D27EA" w:rsidRDefault="000D6658" w:rsidP="00461572">
            <w:pPr>
              <w:widowControl w:val="0"/>
              <w:spacing w:after="120"/>
              <w:rPr>
                <w:rFonts w:ascii="Arial" w:hAnsi="Arial" w:cs="Arial"/>
                <w:color w:val="000000"/>
                <w:lang w:eastAsia="en-GB"/>
              </w:rPr>
            </w:pPr>
          </w:p>
        </w:tc>
        <w:tc>
          <w:tcPr>
            <w:tcW w:w="2646" w:type="dxa"/>
            <w:tcBorders>
              <w:bottom w:val="nil"/>
            </w:tcBorders>
          </w:tcPr>
          <w:p w14:paraId="35763052" w14:textId="65C84D4A" w:rsidR="000D6658" w:rsidRPr="000D27EA"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t>5. Knowledge transfer processes are in place to build adaptive capacity across sectors</w:t>
            </w:r>
          </w:p>
        </w:tc>
        <w:tc>
          <w:tcPr>
            <w:tcW w:w="637" w:type="dxa"/>
            <w:vAlign w:val="center"/>
          </w:tcPr>
          <w:p w14:paraId="5F9D7D8F" w14:textId="4D7C2696" w:rsidR="000D6658" w:rsidRPr="000D27EA" w:rsidRDefault="000D6658" w:rsidP="00461572">
            <w:pPr>
              <w:widowControl w:val="0"/>
              <w:spacing w:after="120"/>
              <w:jc w:val="center"/>
              <w:rPr>
                <w:rFonts w:ascii="Arial" w:hAnsi="Arial" w:cs="Arial"/>
                <w:color w:val="000000"/>
                <w:lang w:eastAsia="en-GB"/>
              </w:rPr>
            </w:pPr>
            <w:r w:rsidRPr="000D27EA">
              <w:rPr>
                <w:rFonts w:ascii="Arial" w:hAnsi="Arial" w:cs="Arial"/>
                <w:color w:val="000000"/>
                <w:lang w:eastAsia="en-GB"/>
              </w:rPr>
              <w:t>5a</w:t>
            </w:r>
          </w:p>
        </w:tc>
        <w:tc>
          <w:tcPr>
            <w:tcW w:w="5156" w:type="dxa"/>
            <w:gridSpan w:val="2"/>
          </w:tcPr>
          <w:p w14:paraId="2CA532AE" w14:textId="2D9530DB" w:rsidR="000D6658" w:rsidRPr="000D27EA"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t xml:space="preserve">Adaptation relevant data and information is available to all stakeholders, including policy makers (e.g. through a dedicated website or other comparable means). </w:t>
            </w:r>
          </w:p>
        </w:tc>
      </w:tr>
      <w:tr w:rsidR="000D6658" w:rsidRPr="000D27EA" w14:paraId="00CA4476" w14:textId="77777777" w:rsidTr="00461572">
        <w:tc>
          <w:tcPr>
            <w:tcW w:w="1549" w:type="dxa"/>
            <w:tcBorders>
              <w:top w:val="nil"/>
              <w:bottom w:val="single" w:sz="4" w:space="0" w:color="auto"/>
            </w:tcBorders>
          </w:tcPr>
          <w:p w14:paraId="1E2BFB3A" w14:textId="77777777" w:rsidR="000D6658" w:rsidRPr="000D27EA" w:rsidRDefault="000D6658" w:rsidP="00461572">
            <w:pPr>
              <w:widowControl w:val="0"/>
              <w:spacing w:after="120"/>
              <w:rPr>
                <w:rFonts w:ascii="Arial" w:hAnsi="Arial" w:cs="Arial"/>
                <w:color w:val="000000"/>
                <w:lang w:eastAsia="en-GB"/>
              </w:rPr>
            </w:pPr>
          </w:p>
        </w:tc>
        <w:tc>
          <w:tcPr>
            <w:tcW w:w="2646" w:type="dxa"/>
            <w:tcBorders>
              <w:top w:val="nil"/>
            </w:tcBorders>
          </w:tcPr>
          <w:p w14:paraId="2B5D5F38" w14:textId="184B5C98" w:rsidR="000D6658" w:rsidRPr="000D27EA" w:rsidRDefault="000D6658" w:rsidP="00461572">
            <w:pPr>
              <w:widowControl w:val="0"/>
              <w:spacing w:after="120"/>
              <w:rPr>
                <w:rFonts w:ascii="Arial" w:hAnsi="Arial" w:cs="Arial"/>
                <w:color w:val="000000"/>
                <w:lang w:eastAsia="en-GB"/>
              </w:rPr>
            </w:pPr>
          </w:p>
        </w:tc>
        <w:tc>
          <w:tcPr>
            <w:tcW w:w="637" w:type="dxa"/>
            <w:vAlign w:val="center"/>
          </w:tcPr>
          <w:p w14:paraId="6E2F8F13" w14:textId="3D9CB9FD" w:rsidR="000D6658" w:rsidRPr="000D27EA" w:rsidRDefault="000D6658" w:rsidP="00461572">
            <w:pPr>
              <w:widowControl w:val="0"/>
              <w:spacing w:after="120"/>
              <w:jc w:val="center"/>
              <w:rPr>
                <w:rFonts w:ascii="Arial" w:hAnsi="Arial" w:cs="Arial"/>
                <w:color w:val="000000"/>
                <w:lang w:eastAsia="en-GB"/>
              </w:rPr>
            </w:pPr>
            <w:r w:rsidRPr="000D27EA">
              <w:rPr>
                <w:rFonts w:ascii="Arial" w:hAnsi="Arial" w:cs="Arial"/>
                <w:color w:val="000000"/>
                <w:lang w:eastAsia="en-GB"/>
              </w:rPr>
              <w:t>5b</w:t>
            </w:r>
          </w:p>
        </w:tc>
        <w:tc>
          <w:tcPr>
            <w:tcW w:w="5156" w:type="dxa"/>
            <w:gridSpan w:val="2"/>
          </w:tcPr>
          <w:p w14:paraId="18A893F1" w14:textId="5758839C" w:rsidR="000D6658" w:rsidRPr="000D27EA"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t xml:space="preserve">Capacity building activities take place; education and training materials on climate change adaptation concepts and practices are available and disseminated </w:t>
            </w:r>
          </w:p>
        </w:tc>
      </w:tr>
      <w:tr w:rsidR="000D6658" w:rsidRPr="000D27EA" w14:paraId="786337BA" w14:textId="77777777" w:rsidTr="00461572">
        <w:tc>
          <w:tcPr>
            <w:tcW w:w="1549" w:type="dxa"/>
            <w:vMerge w:val="restart"/>
            <w:tcBorders>
              <w:bottom w:val="nil"/>
            </w:tcBorders>
          </w:tcPr>
          <w:p w14:paraId="332B704D" w14:textId="77777777" w:rsidR="000D6658" w:rsidRPr="000D27EA" w:rsidRDefault="000D6658" w:rsidP="00461572">
            <w:pPr>
              <w:keepLines/>
              <w:spacing w:after="120"/>
              <w:rPr>
                <w:rFonts w:ascii="Arial" w:hAnsi="Arial" w:cs="Arial"/>
                <w:color w:val="000000"/>
                <w:lang w:eastAsia="en-GB"/>
              </w:rPr>
            </w:pPr>
            <w:r w:rsidRPr="000D27EA">
              <w:rPr>
                <w:rFonts w:ascii="Arial" w:hAnsi="Arial" w:cs="Arial"/>
                <w:color w:val="000000"/>
                <w:lang w:eastAsia="en-GB"/>
              </w:rPr>
              <w:t>Step 3:</w:t>
            </w:r>
          </w:p>
          <w:p w14:paraId="0FC96EAD" w14:textId="248017B6" w:rsidR="000D6658" w:rsidRPr="000D27EA" w:rsidRDefault="000D6658" w:rsidP="00461572">
            <w:pPr>
              <w:keepNext/>
              <w:keepLines/>
              <w:spacing w:after="120"/>
              <w:rPr>
                <w:rFonts w:ascii="Arial" w:hAnsi="Arial" w:cs="Arial"/>
                <w:color w:val="000000"/>
                <w:lang w:eastAsia="en-GB"/>
              </w:rPr>
            </w:pPr>
            <w:r w:rsidRPr="000D27EA">
              <w:rPr>
                <w:rFonts w:ascii="Arial" w:hAnsi="Arial" w:cs="Arial"/>
                <w:color w:val="000000"/>
                <w:lang w:eastAsia="en-GB"/>
              </w:rPr>
              <w:t>Identifying adaptation options</w:t>
            </w:r>
          </w:p>
        </w:tc>
        <w:tc>
          <w:tcPr>
            <w:tcW w:w="2646" w:type="dxa"/>
            <w:vMerge w:val="restart"/>
          </w:tcPr>
          <w:p w14:paraId="75DF34D4" w14:textId="068ECA7C" w:rsidR="000D6658" w:rsidRPr="000D27EA" w:rsidRDefault="000D6658" w:rsidP="00461572">
            <w:pPr>
              <w:keepNext/>
              <w:keepLines/>
              <w:spacing w:after="120"/>
              <w:rPr>
                <w:rFonts w:ascii="Arial" w:hAnsi="Arial" w:cs="Arial"/>
                <w:color w:val="000000"/>
                <w:lang w:eastAsia="en-GB"/>
              </w:rPr>
            </w:pPr>
            <w:r w:rsidRPr="000D27EA">
              <w:rPr>
                <w:rFonts w:ascii="Arial" w:hAnsi="Arial" w:cs="Arial"/>
                <w:color w:val="000000"/>
                <w:lang w:eastAsia="en-GB"/>
              </w:rPr>
              <w:t>6. For priority sectors, a range of adaptation options is considered, consistent with the results of sectoral risk assessments and taking into account good practices and measures</w:t>
            </w:r>
          </w:p>
        </w:tc>
        <w:tc>
          <w:tcPr>
            <w:tcW w:w="637" w:type="dxa"/>
            <w:vAlign w:val="center"/>
          </w:tcPr>
          <w:p w14:paraId="6AB10A47" w14:textId="381AC408" w:rsidR="000D6658" w:rsidRPr="000D27EA" w:rsidRDefault="000D6658" w:rsidP="00461572">
            <w:pPr>
              <w:keepNext/>
              <w:keepLines/>
              <w:spacing w:after="120"/>
              <w:jc w:val="center"/>
              <w:rPr>
                <w:rFonts w:ascii="Arial" w:hAnsi="Arial" w:cs="Arial"/>
                <w:color w:val="000000"/>
                <w:lang w:eastAsia="en-GB"/>
              </w:rPr>
            </w:pPr>
            <w:r w:rsidRPr="000D27EA">
              <w:rPr>
                <w:rFonts w:ascii="Arial" w:hAnsi="Arial" w:cs="Arial"/>
                <w:color w:val="000000"/>
                <w:lang w:eastAsia="en-GB"/>
              </w:rPr>
              <w:t>6a</w:t>
            </w:r>
          </w:p>
        </w:tc>
        <w:tc>
          <w:tcPr>
            <w:tcW w:w="5156" w:type="dxa"/>
            <w:gridSpan w:val="2"/>
          </w:tcPr>
          <w:p w14:paraId="399F8386" w14:textId="4F65B0EF" w:rsidR="000D6658" w:rsidRPr="000D27EA" w:rsidRDefault="000D6658" w:rsidP="00461572">
            <w:pPr>
              <w:keepNext/>
              <w:keepLines/>
              <w:spacing w:after="120"/>
              <w:rPr>
                <w:rFonts w:ascii="Arial" w:hAnsi="Arial" w:cs="Arial"/>
                <w:color w:val="000000"/>
                <w:lang w:eastAsia="en-GB"/>
              </w:rPr>
            </w:pPr>
            <w:r w:rsidRPr="000D27EA">
              <w:rPr>
                <w:rFonts w:ascii="Arial" w:hAnsi="Arial" w:cs="Arial"/>
                <w:color w:val="000000"/>
                <w:lang w:eastAsia="en-GB"/>
              </w:rPr>
              <w:t>Adaptation options address sectoral risks identified in 3c, the geographical specificities identified in 3b and follow best practices as d</w:t>
            </w:r>
            <w:r>
              <w:rPr>
                <w:rFonts w:ascii="Arial" w:hAnsi="Arial" w:cs="Arial"/>
                <w:color w:val="000000"/>
                <w:lang w:eastAsia="en-GB"/>
              </w:rPr>
              <w:t xml:space="preserve">efined in similar contexts </w:t>
            </w:r>
          </w:p>
          <w:p w14:paraId="61BD8308" w14:textId="4FCFA0AD" w:rsidR="000D6658" w:rsidRPr="000D27EA" w:rsidRDefault="000D6658" w:rsidP="00461572">
            <w:pPr>
              <w:keepNext/>
              <w:keepLines/>
              <w:spacing w:after="120"/>
              <w:rPr>
                <w:rFonts w:ascii="Arial" w:hAnsi="Arial" w:cs="Arial"/>
                <w:color w:val="000000"/>
                <w:lang w:eastAsia="en-GB"/>
              </w:rPr>
            </w:pPr>
          </w:p>
        </w:tc>
      </w:tr>
      <w:tr w:rsidR="000D6658" w:rsidRPr="000D27EA" w14:paraId="605B0C8D" w14:textId="77777777" w:rsidTr="00461572">
        <w:tc>
          <w:tcPr>
            <w:tcW w:w="1549" w:type="dxa"/>
            <w:vMerge/>
            <w:tcBorders>
              <w:bottom w:val="nil"/>
            </w:tcBorders>
          </w:tcPr>
          <w:p w14:paraId="6363C71F" w14:textId="77777777" w:rsidR="000D6658" w:rsidRPr="000D27EA" w:rsidRDefault="000D6658" w:rsidP="00461572">
            <w:pPr>
              <w:widowControl w:val="0"/>
              <w:spacing w:after="120"/>
              <w:rPr>
                <w:rFonts w:ascii="Arial" w:hAnsi="Arial" w:cs="Arial"/>
                <w:color w:val="000000"/>
                <w:lang w:eastAsia="en-GB"/>
              </w:rPr>
            </w:pPr>
          </w:p>
        </w:tc>
        <w:tc>
          <w:tcPr>
            <w:tcW w:w="2646" w:type="dxa"/>
            <w:vMerge/>
          </w:tcPr>
          <w:p w14:paraId="40B0A14C" w14:textId="3DA7A4A3" w:rsidR="000D6658" w:rsidRPr="000D27EA" w:rsidRDefault="000D6658" w:rsidP="00461572">
            <w:pPr>
              <w:widowControl w:val="0"/>
              <w:spacing w:after="120"/>
              <w:rPr>
                <w:rFonts w:ascii="Arial" w:hAnsi="Arial" w:cs="Arial"/>
                <w:color w:val="000000"/>
                <w:lang w:eastAsia="en-GB"/>
              </w:rPr>
            </w:pPr>
          </w:p>
        </w:tc>
        <w:tc>
          <w:tcPr>
            <w:tcW w:w="637" w:type="dxa"/>
            <w:vAlign w:val="center"/>
          </w:tcPr>
          <w:p w14:paraId="115DDEBF" w14:textId="0EFAA5A0" w:rsidR="000D6658" w:rsidRPr="000D27EA" w:rsidRDefault="000D6658" w:rsidP="00461572">
            <w:pPr>
              <w:widowControl w:val="0"/>
              <w:spacing w:after="120"/>
              <w:jc w:val="center"/>
              <w:rPr>
                <w:rFonts w:ascii="Arial" w:hAnsi="Arial" w:cs="Arial"/>
                <w:color w:val="000000"/>
                <w:lang w:eastAsia="en-GB"/>
              </w:rPr>
            </w:pPr>
            <w:r w:rsidRPr="000D27EA">
              <w:rPr>
                <w:rFonts w:ascii="Arial" w:hAnsi="Arial" w:cs="Arial"/>
                <w:color w:val="000000"/>
                <w:lang w:eastAsia="en-GB"/>
              </w:rPr>
              <w:t>6b</w:t>
            </w:r>
          </w:p>
        </w:tc>
        <w:tc>
          <w:tcPr>
            <w:tcW w:w="5156" w:type="dxa"/>
            <w:gridSpan w:val="2"/>
          </w:tcPr>
          <w:p w14:paraId="2F576C8B" w14:textId="67C57A09" w:rsidR="000D6658" w:rsidRPr="000D27EA"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t xml:space="preserve"> The selection of priority adaptation options is based on robust methods (e.g. multi-criteria analyses, stakeholders' consultation, etc.)  and consistent with existing decision-making frameworks</w:t>
            </w:r>
          </w:p>
        </w:tc>
      </w:tr>
      <w:tr w:rsidR="000D6658" w:rsidRPr="000D27EA" w14:paraId="2FB378F3" w14:textId="77777777" w:rsidTr="00461572">
        <w:tc>
          <w:tcPr>
            <w:tcW w:w="1549" w:type="dxa"/>
            <w:vMerge/>
            <w:tcBorders>
              <w:bottom w:val="nil"/>
            </w:tcBorders>
          </w:tcPr>
          <w:p w14:paraId="383CD9F3" w14:textId="77777777" w:rsidR="000D6658" w:rsidRPr="000D27EA" w:rsidRDefault="000D6658" w:rsidP="00461572">
            <w:pPr>
              <w:widowControl w:val="0"/>
              <w:spacing w:after="120"/>
              <w:rPr>
                <w:rFonts w:ascii="Arial" w:hAnsi="Arial" w:cs="Arial"/>
                <w:color w:val="000000"/>
                <w:lang w:eastAsia="en-GB"/>
              </w:rPr>
            </w:pPr>
          </w:p>
        </w:tc>
        <w:tc>
          <w:tcPr>
            <w:tcW w:w="2646" w:type="dxa"/>
            <w:vMerge/>
          </w:tcPr>
          <w:p w14:paraId="5E65A9DA" w14:textId="05DADC2A" w:rsidR="000D6658" w:rsidRPr="000D27EA" w:rsidRDefault="000D6658" w:rsidP="00461572">
            <w:pPr>
              <w:widowControl w:val="0"/>
              <w:spacing w:after="120"/>
              <w:rPr>
                <w:rFonts w:ascii="Arial" w:hAnsi="Arial" w:cs="Arial"/>
                <w:color w:val="000000"/>
                <w:lang w:eastAsia="en-GB"/>
              </w:rPr>
            </w:pPr>
          </w:p>
        </w:tc>
        <w:tc>
          <w:tcPr>
            <w:tcW w:w="637" w:type="dxa"/>
            <w:vAlign w:val="center"/>
          </w:tcPr>
          <w:p w14:paraId="1FFD6560" w14:textId="5328C6F6" w:rsidR="000D6658" w:rsidRPr="000D27EA" w:rsidRDefault="000D6658" w:rsidP="00461572">
            <w:pPr>
              <w:widowControl w:val="0"/>
              <w:spacing w:after="120"/>
              <w:jc w:val="center"/>
              <w:rPr>
                <w:rFonts w:ascii="Arial" w:hAnsi="Arial" w:cs="Arial"/>
                <w:color w:val="000000"/>
                <w:lang w:eastAsia="en-GB"/>
              </w:rPr>
            </w:pPr>
            <w:r w:rsidRPr="000D27EA">
              <w:rPr>
                <w:rFonts w:ascii="Arial" w:hAnsi="Arial" w:cs="Arial"/>
                <w:color w:val="000000"/>
                <w:lang w:eastAsia="en-GB"/>
              </w:rPr>
              <w:t>6c</w:t>
            </w:r>
          </w:p>
        </w:tc>
        <w:tc>
          <w:tcPr>
            <w:tcW w:w="5156" w:type="dxa"/>
            <w:gridSpan w:val="2"/>
          </w:tcPr>
          <w:p w14:paraId="087DB98F" w14:textId="1A8A2B34" w:rsidR="000D6658" w:rsidRPr="000D27EA"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t>Mechanisms are in place to coordinate disaster risk management and climate change adaptation and to ensure coherence between the two policies.</w:t>
            </w:r>
          </w:p>
        </w:tc>
      </w:tr>
      <w:tr w:rsidR="000D6658" w:rsidRPr="000D27EA" w14:paraId="734E748A" w14:textId="77777777" w:rsidTr="00461572">
        <w:tc>
          <w:tcPr>
            <w:tcW w:w="1549" w:type="dxa"/>
            <w:tcBorders>
              <w:top w:val="nil"/>
            </w:tcBorders>
          </w:tcPr>
          <w:p w14:paraId="15452388" w14:textId="77777777" w:rsidR="000D6658" w:rsidRPr="000D27EA" w:rsidRDefault="000D6658" w:rsidP="00461572">
            <w:pPr>
              <w:widowControl w:val="0"/>
              <w:spacing w:after="120"/>
              <w:rPr>
                <w:rFonts w:ascii="Arial" w:hAnsi="Arial" w:cs="Arial"/>
                <w:color w:val="000000"/>
                <w:lang w:eastAsia="en-GB"/>
              </w:rPr>
            </w:pPr>
          </w:p>
        </w:tc>
        <w:tc>
          <w:tcPr>
            <w:tcW w:w="2646" w:type="dxa"/>
          </w:tcPr>
          <w:p w14:paraId="2BA0264A" w14:textId="77777777" w:rsidR="000D6658"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t>7. Dedicated and adequate funding resources have been identified and made available to implement adaptation action</w:t>
            </w:r>
          </w:p>
          <w:p w14:paraId="39E9B0F0" w14:textId="77777777" w:rsidR="00461572" w:rsidRDefault="00461572" w:rsidP="00461572">
            <w:pPr>
              <w:widowControl w:val="0"/>
              <w:spacing w:after="120"/>
              <w:rPr>
                <w:rFonts w:ascii="Arial" w:hAnsi="Arial" w:cs="Arial"/>
                <w:color w:val="000000"/>
                <w:lang w:eastAsia="en-GB"/>
              </w:rPr>
            </w:pPr>
          </w:p>
          <w:p w14:paraId="5535A8AD" w14:textId="77777777" w:rsidR="00461572" w:rsidRDefault="00461572" w:rsidP="00461572">
            <w:pPr>
              <w:widowControl w:val="0"/>
              <w:spacing w:after="120"/>
              <w:rPr>
                <w:rFonts w:ascii="Arial" w:hAnsi="Arial" w:cs="Arial"/>
                <w:color w:val="000000"/>
                <w:lang w:eastAsia="en-GB"/>
              </w:rPr>
            </w:pPr>
          </w:p>
          <w:p w14:paraId="6ADF8ACA" w14:textId="5B97537B" w:rsidR="00461572" w:rsidRPr="000D27EA" w:rsidRDefault="00461572" w:rsidP="00461572">
            <w:pPr>
              <w:widowControl w:val="0"/>
              <w:spacing w:after="120"/>
              <w:rPr>
                <w:rFonts w:ascii="Arial" w:hAnsi="Arial" w:cs="Arial"/>
                <w:color w:val="000000"/>
                <w:lang w:eastAsia="en-GB"/>
              </w:rPr>
            </w:pPr>
          </w:p>
        </w:tc>
        <w:tc>
          <w:tcPr>
            <w:tcW w:w="637" w:type="dxa"/>
            <w:vAlign w:val="center"/>
          </w:tcPr>
          <w:p w14:paraId="63353FF7" w14:textId="4D86AAC2" w:rsidR="000D6658" w:rsidRPr="000D27EA" w:rsidRDefault="000D6658" w:rsidP="00461572">
            <w:pPr>
              <w:widowControl w:val="0"/>
              <w:spacing w:after="120"/>
              <w:jc w:val="center"/>
              <w:rPr>
                <w:rFonts w:ascii="Arial" w:hAnsi="Arial" w:cs="Arial"/>
                <w:color w:val="000000"/>
                <w:lang w:eastAsia="en-GB"/>
              </w:rPr>
            </w:pPr>
            <w:r w:rsidRPr="000D27EA">
              <w:rPr>
                <w:rFonts w:ascii="Arial" w:hAnsi="Arial" w:cs="Arial"/>
                <w:color w:val="000000"/>
                <w:lang w:eastAsia="en-GB"/>
              </w:rPr>
              <w:t>7a</w:t>
            </w:r>
          </w:p>
        </w:tc>
        <w:tc>
          <w:tcPr>
            <w:tcW w:w="5156" w:type="dxa"/>
            <w:gridSpan w:val="2"/>
          </w:tcPr>
          <w:p w14:paraId="0376F313" w14:textId="6C6CF92D" w:rsidR="00B522CC"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t>Funding is available to increase climate resilience in vulnerable sectors and for cross-cutting adaptation action</w:t>
            </w:r>
          </w:p>
          <w:p w14:paraId="0557DA47" w14:textId="77777777" w:rsidR="00B522CC" w:rsidRDefault="00B522CC" w:rsidP="00461572">
            <w:pPr>
              <w:widowControl w:val="0"/>
              <w:spacing w:after="120"/>
              <w:rPr>
                <w:rFonts w:ascii="Arial" w:hAnsi="Arial" w:cs="Arial"/>
                <w:color w:val="000000"/>
                <w:lang w:eastAsia="en-GB"/>
              </w:rPr>
            </w:pPr>
          </w:p>
          <w:p w14:paraId="165D7604" w14:textId="77777777" w:rsidR="00B522CC" w:rsidRDefault="00B522CC" w:rsidP="00461572">
            <w:pPr>
              <w:widowControl w:val="0"/>
              <w:spacing w:after="120"/>
              <w:rPr>
                <w:rFonts w:ascii="Arial" w:hAnsi="Arial" w:cs="Arial"/>
                <w:color w:val="000000"/>
                <w:lang w:eastAsia="en-GB"/>
              </w:rPr>
            </w:pPr>
          </w:p>
          <w:p w14:paraId="0CE3C6B8" w14:textId="4251A985" w:rsidR="00B522CC" w:rsidRPr="000D27EA" w:rsidDel="007230B4" w:rsidRDefault="00B522CC" w:rsidP="00461572">
            <w:pPr>
              <w:widowControl w:val="0"/>
              <w:spacing w:after="120"/>
              <w:rPr>
                <w:rFonts w:ascii="Arial" w:hAnsi="Arial" w:cs="Arial"/>
                <w:color w:val="000000"/>
                <w:lang w:eastAsia="en-GB"/>
              </w:rPr>
            </w:pPr>
          </w:p>
        </w:tc>
      </w:tr>
      <w:tr w:rsidR="000D6658" w:rsidRPr="000D27EA" w14:paraId="3D360B2B" w14:textId="77777777" w:rsidTr="00461572">
        <w:tc>
          <w:tcPr>
            <w:tcW w:w="1549" w:type="dxa"/>
            <w:vMerge w:val="restart"/>
          </w:tcPr>
          <w:p w14:paraId="73BDF9D6" w14:textId="77777777" w:rsidR="000D6658" w:rsidRPr="000D27EA"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lastRenderedPageBreak/>
              <w:t>Step 4:</w:t>
            </w:r>
          </w:p>
          <w:p w14:paraId="3A0571E1" w14:textId="5A2669DF" w:rsidR="000D6658" w:rsidRPr="000D27EA"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t>Implementing adaptation action</w:t>
            </w:r>
          </w:p>
        </w:tc>
        <w:tc>
          <w:tcPr>
            <w:tcW w:w="2646" w:type="dxa"/>
            <w:vMerge w:val="restart"/>
          </w:tcPr>
          <w:p w14:paraId="4B1D7E17" w14:textId="06FEF474" w:rsidR="000D6658" w:rsidRPr="000D27EA"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t>8. Climate change adaptation is mainstreamed into priority and key national planning and sectoral policymaking</w:t>
            </w:r>
          </w:p>
        </w:tc>
        <w:tc>
          <w:tcPr>
            <w:tcW w:w="637" w:type="dxa"/>
            <w:vAlign w:val="center"/>
          </w:tcPr>
          <w:p w14:paraId="613EAE60" w14:textId="1CDC5109" w:rsidR="000D6658" w:rsidRPr="000D27EA" w:rsidRDefault="000D6658" w:rsidP="00461572">
            <w:pPr>
              <w:widowControl w:val="0"/>
              <w:spacing w:after="120"/>
              <w:jc w:val="center"/>
              <w:rPr>
                <w:rFonts w:ascii="Arial" w:hAnsi="Arial" w:cs="Arial"/>
                <w:color w:val="000000"/>
                <w:lang w:eastAsia="en-GB"/>
              </w:rPr>
            </w:pPr>
          </w:p>
          <w:p w14:paraId="3CB47077" w14:textId="77777777" w:rsidR="000D6658" w:rsidRPr="000D27EA" w:rsidRDefault="000D6658" w:rsidP="00461572">
            <w:pPr>
              <w:widowControl w:val="0"/>
              <w:spacing w:after="120"/>
              <w:jc w:val="center"/>
              <w:rPr>
                <w:rFonts w:ascii="Arial" w:hAnsi="Arial" w:cs="Arial"/>
                <w:color w:val="000000"/>
                <w:lang w:eastAsia="en-GB"/>
              </w:rPr>
            </w:pPr>
            <w:r w:rsidRPr="000D27EA">
              <w:rPr>
                <w:rFonts w:ascii="Arial" w:hAnsi="Arial" w:cs="Arial"/>
                <w:color w:val="000000"/>
                <w:lang w:eastAsia="en-GB"/>
              </w:rPr>
              <w:t>8a</w:t>
            </w:r>
          </w:p>
        </w:tc>
        <w:tc>
          <w:tcPr>
            <w:tcW w:w="5156" w:type="dxa"/>
            <w:gridSpan w:val="2"/>
          </w:tcPr>
          <w:p w14:paraId="714B6C08" w14:textId="67C8F237" w:rsidR="000D6658" w:rsidRPr="000D27EA"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t xml:space="preserve">Consideration of climate change adaptation has been included in the national frameworks for environmental impact assessments </w:t>
            </w:r>
          </w:p>
        </w:tc>
      </w:tr>
      <w:tr w:rsidR="000D6658" w:rsidRPr="000D27EA" w14:paraId="2A9E5BFE" w14:textId="77777777" w:rsidTr="00461572">
        <w:tc>
          <w:tcPr>
            <w:tcW w:w="1549" w:type="dxa"/>
            <w:vMerge/>
          </w:tcPr>
          <w:p w14:paraId="43C84226" w14:textId="77777777" w:rsidR="000D6658" w:rsidRPr="000D27EA" w:rsidRDefault="000D6658" w:rsidP="00461572">
            <w:pPr>
              <w:widowControl w:val="0"/>
              <w:spacing w:after="120"/>
              <w:rPr>
                <w:rFonts w:ascii="Arial" w:hAnsi="Arial" w:cs="Arial"/>
                <w:color w:val="000000"/>
                <w:lang w:eastAsia="en-GB"/>
              </w:rPr>
            </w:pPr>
          </w:p>
        </w:tc>
        <w:tc>
          <w:tcPr>
            <w:tcW w:w="2646" w:type="dxa"/>
            <w:vMerge/>
          </w:tcPr>
          <w:p w14:paraId="1F502480" w14:textId="7DEE8DF1" w:rsidR="000D6658" w:rsidRPr="000D27EA" w:rsidRDefault="000D6658" w:rsidP="00461572">
            <w:pPr>
              <w:widowControl w:val="0"/>
              <w:spacing w:after="120"/>
              <w:rPr>
                <w:rFonts w:ascii="Arial" w:hAnsi="Arial" w:cs="Arial"/>
                <w:color w:val="000000"/>
                <w:lang w:eastAsia="en-GB"/>
              </w:rPr>
            </w:pPr>
          </w:p>
        </w:tc>
        <w:tc>
          <w:tcPr>
            <w:tcW w:w="637" w:type="dxa"/>
            <w:vAlign w:val="center"/>
          </w:tcPr>
          <w:p w14:paraId="5D5739F9" w14:textId="67604F7F" w:rsidR="000D6658" w:rsidRPr="000D27EA" w:rsidRDefault="000D6658" w:rsidP="00461572">
            <w:pPr>
              <w:widowControl w:val="0"/>
              <w:spacing w:after="120"/>
              <w:jc w:val="center"/>
              <w:rPr>
                <w:rFonts w:ascii="Arial" w:hAnsi="Arial" w:cs="Arial"/>
                <w:color w:val="000000"/>
                <w:lang w:eastAsia="en-GB"/>
              </w:rPr>
            </w:pPr>
            <w:r w:rsidRPr="000D27EA">
              <w:rPr>
                <w:rFonts w:ascii="Arial" w:hAnsi="Arial" w:cs="Arial"/>
                <w:color w:val="000000"/>
                <w:lang w:eastAsia="en-GB"/>
              </w:rPr>
              <w:t>8b</w:t>
            </w:r>
          </w:p>
        </w:tc>
        <w:tc>
          <w:tcPr>
            <w:tcW w:w="5156" w:type="dxa"/>
            <w:gridSpan w:val="2"/>
          </w:tcPr>
          <w:p w14:paraId="7657FEFD" w14:textId="5D033DF8" w:rsidR="000D6658" w:rsidRPr="000D27EA"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t xml:space="preserve">Prevention/preparedness strategies in place under national disaster risk management plans </w:t>
            </w:r>
            <w:r w:rsidRPr="000D27EA">
              <w:rPr>
                <w:rFonts w:ascii="Arial" w:hAnsi="Arial" w:cs="Arial"/>
              </w:rPr>
              <w:t>take into account climate change impacts and projections</w:t>
            </w:r>
            <w:r w:rsidRPr="000D27EA">
              <w:rPr>
                <w:rFonts w:ascii="Arial" w:hAnsi="Arial" w:cs="Arial"/>
                <w:color w:val="000000"/>
                <w:lang w:eastAsia="en-GB"/>
              </w:rPr>
              <w:t xml:space="preserve"> </w:t>
            </w:r>
          </w:p>
        </w:tc>
      </w:tr>
      <w:tr w:rsidR="000D6658" w:rsidRPr="000D27EA" w14:paraId="04DB35F3" w14:textId="77777777" w:rsidTr="00461572">
        <w:tc>
          <w:tcPr>
            <w:tcW w:w="1549" w:type="dxa"/>
            <w:vMerge/>
          </w:tcPr>
          <w:p w14:paraId="7F886779" w14:textId="77777777" w:rsidR="000D6658" w:rsidRPr="000D27EA" w:rsidRDefault="000D6658" w:rsidP="00461572">
            <w:pPr>
              <w:widowControl w:val="0"/>
              <w:spacing w:after="120"/>
              <w:rPr>
                <w:rFonts w:ascii="Arial" w:hAnsi="Arial" w:cs="Arial"/>
                <w:color w:val="000000"/>
                <w:lang w:eastAsia="en-GB"/>
              </w:rPr>
            </w:pPr>
          </w:p>
        </w:tc>
        <w:tc>
          <w:tcPr>
            <w:tcW w:w="2646" w:type="dxa"/>
            <w:vMerge/>
          </w:tcPr>
          <w:p w14:paraId="4F315808" w14:textId="749E7F59" w:rsidR="000D6658" w:rsidRPr="000D27EA" w:rsidRDefault="000D6658" w:rsidP="00461572">
            <w:pPr>
              <w:widowControl w:val="0"/>
              <w:spacing w:after="120"/>
              <w:rPr>
                <w:rFonts w:ascii="Arial" w:hAnsi="Arial" w:cs="Arial"/>
                <w:color w:val="000000"/>
                <w:lang w:eastAsia="en-GB"/>
              </w:rPr>
            </w:pPr>
          </w:p>
        </w:tc>
        <w:tc>
          <w:tcPr>
            <w:tcW w:w="637" w:type="dxa"/>
            <w:vAlign w:val="center"/>
          </w:tcPr>
          <w:p w14:paraId="183BEF60" w14:textId="60950017" w:rsidR="000D6658" w:rsidRPr="000D27EA" w:rsidRDefault="000D6658" w:rsidP="00461572">
            <w:pPr>
              <w:widowControl w:val="0"/>
              <w:spacing w:after="120"/>
              <w:jc w:val="center"/>
              <w:rPr>
                <w:rFonts w:ascii="Arial" w:hAnsi="Arial" w:cs="Arial"/>
                <w:color w:val="000000"/>
                <w:lang w:eastAsia="en-GB"/>
              </w:rPr>
            </w:pPr>
          </w:p>
          <w:p w14:paraId="4E5AF005" w14:textId="77777777" w:rsidR="000D6658" w:rsidRPr="000D27EA" w:rsidRDefault="000D6658" w:rsidP="00461572">
            <w:pPr>
              <w:widowControl w:val="0"/>
              <w:spacing w:after="120"/>
              <w:jc w:val="center"/>
              <w:rPr>
                <w:rFonts w:ascii="Arial" w:hAnsi="Arial" w:cs="Arial"/>
                <w:color w:val="000000"/>
                <w:lang w:eastAsia="en-GB"/>
              </w:rPr>
            </w:pPr>
            <w:r w:rsidRPr="000D27EA">
              <w:rPr>
                <w:rFonts w:ascii="Arial" w:hAnsi="Arial" w:cs="Arial"/>
                <w:color w:val="000000"/>
                <w:lang w:eastAsia="en-GB"/>
              </w:rPr>
              <w:t>8c</w:t>
            </w:r>
          </w:p>
        </w:tc>
        <w:tc>
          <w:tcPr>
            <w:tcW w:w="5156" w:type="dxa"/>
            <w:gridSpan w:val="2"/>
          </w:tcPr>
          <w:p w14:paraId="11B6C7DC" w14:textId="606D4A4E" w:rsidR="000D6658" w:rsidRPr="000D27EA"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t>Key land use, spatial planning, urban planning and maritime spatial/ urban  planning policies take into account the impacts of climate change</w:t>
            </w:r>
          </w:p>
        </w:tc>
      </w:tr>
      <w:tr w:rsidR="000D6658" w:rsidRPr="000D27EA" w14:paraId="4F0F7860" w14:textId="77777777" w:rsidTr="00461572">
        <w:tc>
          <w:tcPr>
            <w:tcW w:w="1549" w:type="dxa"/>
            <w:vMerge/>
          </w:tcPr>
          <w:p w14:paraId="43A36EDE" w14:textId="77777777" w:rsidR="000D6658" w:rsidRPr="000D27EA" w:rsidRDefault="000D6658" w:rsidP="00461572">
            <w:pPr>
              <w:widowControl w:val="0"/>
              <w:spacing w:after="120"/>
              <w:rPr>
                <w:rFonts w:ascii="Arial" w:hAnsi="Arial" w:cs="Arial"/>
                <w:color w:val="000000"/>
                <w:lang w:eastAsia="en-GB"/>
              </w:rPr>
            </w:pPr>
          </w:p>
        </w:tc>
        <w:tc>
          <w:tcPr>
            <w:tcW w:w="2646" w:type="dxa"/>
            <w:vMerge/>
          </w:tcPr>
          <w:p w14:paraId="4B8DA4DB" w14:textId="2EF68D9C" w:rsidR="000D6658" w:rsidRPr="000D27EA" w:rsidRDefault="000D6658" w:rsidP="00461572">
            <w:pPr>
              <w:widowControl w:val="0"/>
              <w:spacing w:after="120"/>
              <w:rPr>
                <w:rFonts w:ascii="Arial" w:hAnsi="Arial" w:cs="Arial"/>
                <w:color w:val="000000"/>
                <w:lang w:eastAsia="en-GB"/>
              </w:rPr>
            </w:pPr>
          </w:p>
        </w:tc>
        <w:tc>
          <w:tcPr>
            <w:tcW w:w="637" w:type="dxa"/>
            <w:vAlign w:val="center"/>
          </w:tcPr>
          <w:p w14:paraId="68B15A1B" w14:textId="330B1767" w:rsidR="000D6658" w:rsidRPr="000D27EA" w:rsidRDefault="000D6658" w:rsidP="00461572">
            <w:pPr>
              <w:widowControl w:val="0"/>
              <w:spacing w:after="120"/>
              <w:jc w:val="center"/>
              <w:rPr>
                <w:rFonts w:ascii="Arial" w:hAnsi="Arial" w:cs="Arial"/>
                <w:color w:val="000000"/>
                <w:lang w:eastAsia="en-GB"/>
              </w:rPr>
            </w:pPr>
            <w:r w:rsidRPr="000D27EA">
              <w:rPr>
                <w:rFonts w:ascii="Arial" w:hAnsi="Arial" w:cs="Arial"/>
                <w:color w:val="000000"/>
                <w:lang w:eastAsia="en-GB"/>
              </w:rPr>
              <w:t>8d</w:t>
            </w:r>
          </w:p>
        </w:tc>
        <w:tc>
          <w:tcPr>
            <w:tcW w:w="5156" w:type="dxa"/>
            <w:gridSpan w:val="2"/>
          </w:tcPr>
          <w:p w14:paraId="76DAABCD" w14:textId="0694C540" w:rsidR="000D6658" w:rsidRPr="000D27EA"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t xml:space="preserve"> National policy instruments promote adaptation at sectoral level, in line with national priorities and in areas where adaptation is mainstreamed in EU policies </w:t>
            </w:r>
          </w:p>
        </w:tc>
      </w:tr>
      <w:tr w:rsidR="000D6658" w:rsidRPr="000D27EA" w14:paraId="7B45B2D7" w14:textId="77777777" w:rsidTr="00461572">
        <w:tc>
          <w:tcPr>
            <w:tcW w:w="1549" w:type="dxa"/>
            <w:vMerge/>
          </w:tcPr>
          <w:p w14:paraId="26215083" w14:textId="77777777" w:rsidR="000D6658" w:rsidRPr="000D27EA" w:rsidRDefault="000D6658" w:rsidP="00461572">
            <w:pPr>
              <w:widowControl w:val="0"/>
              <w:spacing w:after="120"/>
              <w:rPr>
                <w:rFonts w:ascii="Arial" w:hAnsi="Arial" w:cs="Arial"/>
                <w:color w:val="000000"/>
                <w:lang w:eastAsia="en-GB"/>
              </w:rPr>
            </w:pPr>
          </w:p>
        </w:tc>
        <w:tc>
          <w:tcPr>
            <w:tcW w:w="2646" w:type="dxa"/>
            <w:vMerge/>
          </w:tcPr>
          <w:p w14:paraId="03C08DD3" w14:textId="6FE10247" w:rsidR="000D6658" w:rsidRPr="000D27EA" w:rsidRDefault="000D6658" w:rsidP="00461572">
            <w:pPr>
              <w:widowControl w:val="0"/>
              <w:spacing w:after="120"/>
              <w:rPr>
                <w:rFonts w:ascii="Arial" w:hAnsi="Arial" w:cs="Arial"/>
                <w:color w:val="000000"/>
                <w:lang w:eastAsia="en-GB"/>
              </w:rPr>
            </w:pPr>
          </w:p>
        </w:tc>
        <w:tc>
          <w:tcPr>
            <w:tcW w:w="637" w:type="dxa"/>
            <w:vAlign w:val="center"/>
          </w:tcPr>
          <w:p w14:paraId="1F89CF3F" w14:textId="13FA489E" w:rsidR="000D6658" w:rsidRPr="000D27EA" w:rsidRDefault="000D6658" w:rsidP="00461572">
            <w:pPr>
              <w:widowControl w:val="0"/>
              <w:spacing w:after="120"/>
              <w:jc w:val="center"/>
              <w:rPr>
                <w:rFonts w:ascii="Arial" w:hAnsi="Arial" w:cs="Arial"/>
                <w:color w:val="000000"/>
                <w:lang w:eastAsia="en-GB"/>
              </w:rPr>
            </w:pPr>
            <w:r w:rsidRPr="000D27EA">
              <w:rPr>
                <w:rFonts w:ascii="Arial" w:hAnsi="Arial" w:cs="Arial"/>
                <w:color w:val="000000"/>
                <w:lang w:eastAsia="en-GB"/>
              </w:rPr>
              <w:t>8e</w:t>
            </w:r>
          </w:p>
        </w:tc>
        <w:tc>
          <w:tcPr>
            <w:tcW w:w="5156" w:type="dxa"/>
            <w:gridSpan w:val="2"/>
          </w:tcPr>
          <w:p w14:paraId="04E06B99" w14:textId="2563EA33" w:rsidR="000D6658" w:rsidRPr="000D27EA"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t>Adaptation is mainstreamed in insurance or alternative policy instruments, where relevant, to provide incentives for investments in risk prevention</w:t>
            </w:r>
          </w:p>
        </w:tc>
      </w:tr>
      <w:tr w:rsidR="000D6658" w:rsidRPr="000D27EA" w14:paraId="7FA99688" w14:textId="77777777" w:rsidTr="00461572">
        <w:tc>
          <w:tcPr>
            <w:tcW w:w="1549" w:type="dxa"/>
            <w:vMerge/>
          </w:tcPr>
          <w:p w14:paraId="7B2E08A3" w14:textId="77777777" w:rsidR="000D6658" w:rsidRPr="000D27EA" w:rsidRDefault="000D6658" w:rsidP="00461572">
            <w:pPr>
              <w:widowControl w:val="0"/>
              <w:spacing w:after="120"/>
              <w:rPr>
                <w:rFonts w:ascii="Arial" w:hAnsi="Arial" w:cs="Arial"/>
                <w:color w:val="000000"/>
                <w:lang w:eastAsia="en-GB"/>
              </w:rPr>
            </w:pPr>
          </w:p>
        </w:tc>
        <w:tc>
          <w:tcPr>
            <w:tcW w:w="2646" w:type="dxa"/>
            <w:vMerge w:val="restart"/>
            <w:vAlign w:val="center"/>
          </w:tcPr>
          <w:p w14:paraId="5A54B188" w14:textId="7A4AEFC2" w:rsidR="000D6658" w:rsidRPr="000D27EA"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t>9. Climate change adaptation policies and measures are implemented</w:t>
            </w:r>
          </w:p>
        </w:tc>
        <w:tc>
          <w:tcPr>
            <w:tcW w:w="637" w:type="dxa"/>
            <w:vAlign w:val="center"/>
          </w:tcPr>
          <w:p w14:paraId="3BEACA08" w14:textId="0D0D8284" w:rsidR="000D6658" w:rsidRPr="000D27EA" w:rsidRDefault="000D6658" w:rsidP="00461572">
            <w:pPr>
              <w:widowControl w:val="0"/>
              <w:spacing w:after="120"/>
              <w:jc w:val="center"/>
              <w:rPr>
                <w:rFonts w:ascii="Arial" w:hAnsi="Arial" w:cs="Arial"/>
                <w:color w:val="000000"/>
                <w:lang w:eastAsia="en-GB"/>
              </w:rPr>
            </w:pPr>
            <w:r w:rsidRPr="000D27EA">
              <w:rPr>
                <w:rFonts w:ascii="Arial" w:hAnsi="Arial" w:cs="Arial"/>
                <w:color w:val="000000"/>
                <w:lang w:eastAsia="en-GB"/>
              </w:rPr>
              <w:t>9a</w:t>
            </w:r>
          </w:p>
        </w:tc>
        <w:tc>
          <w:tcPr>
            <w:tcW w:w="5156" w:type="dxa"/>
            <w:gridSpan w:val="2"/>
          </w:tcPr>
          <w:p w14:paraId="39556C59" w14:textId="77777777" w:rsidR="000D6658" w:rsidRPr="000D27EA"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t>Adaptation policies and measures are implemented, e.g. as defined in action plans or sectoral policy documents</w:t>
            </w:r>
          </w:p>
        </w:tc>
      </w:tr>
      <w:tr w:rsidR="000D6658" w:rsidRPr="000D27EA" w14:paraId="4084E8CA" w14:textId="77777777" w:rsidTr="00461572">
        <w:tc>
          <w:tcPr>
            <w:tcW w:w="1549" w:type="dxa"/>
            <w:vMerge/>
          </w:tcPr>
          <w:p w14:paraId="2FF886BE" w14:textId="77777777" w:rsidR="000D6658" w:rsidRPr="000D27EA" w:rsidRDefault="000D6658" w:rsidP="00461572">
            <w:pPr>
              <w:widowControl w:val="0"/>
              <w:spacing w:after="120"/>
              <w:rPr>
                <w:rFonts w:ascii="Arial" w:hAnsi="Arial" w:cs="Arial"/>
                <w:color w:val="000000"/>
                <w:lang w:eastAsia="en-GB"/>
              </w:rPr>
            </w:pPr>
          </w:p>
        </w:tc>
        <w:tc>
          <w:tcPr>
            <w:tcW w:w="2646" w:type="dxa"/>
            <w:vMerge/>
          </w:tcPr>
          <w:p w14:paraId="690DB3ED" w14:textId="300E4EFA" w:rsidR="000D6658" w:rsidRPr="000D27EA" w:rsidRDefault="000D6658" w:rsidP="00461572">
            <w:pPr>
              <w:widowControl w:val="0"/>
              <w:spacing w:after="120"/>
              <w:rPr>
                <w:rFonts w:ascii="Arial" w:hAnsi="Arial" w:cs="Arial"/>
                <w:color w:val="000000"/>
                <w:lang w:eastAsia="en-GB"/>
              </w:rPr>
            </w:pPr>
          </w:p>
        </w:tc>
        <w:tc>
          <w:tcPr>
            <w:tcW w:w="637" w:type="dxa"/>
            <w:vAlign w:val="center"/>
          </w:tcPr>
          <w:p w14:paraId="2800D904" w14:textId="7E2B955B" w:rsidR="000D6658" w:rsidRPr="000D27EA" w:rsidRDefault="000D6658" w:rsidP="00461572">
            <w:pPr>
              <w:widowControl w:val="0"/>
              <w:spacing w:after="120"/>
              <w:jc w:val="center"/>
              <w:rPr>
                <w:rFonts w:ascii="Arial" w:hAnsi="Arial" w:cs="Arial"/>
                <w:color w:val="000000"/>
                <w:lang w:eastAsia="en-GB"/>
              </w:rPr>
            </w:pPr>
            <w:r w:rsidRPr="000D27EA">
              <w:rPr>
                <w:rFonts w:ascii="Arial" w:hAnsi="Arial" w:cs="Arial"/>
                <w:color w:val="000000"/>
                <w:lang w:eastAsia="en-GB"/>
              </w:rPr>
              <w:t>9b</w:t>
            </w:r>
          </w:p>
        </w:tc>
        <w:tc>
          <w:tcPr>
            <w:tcW w:w="5156" w:type="dxa"/>
            <w:gridSpan w:val="2"/>
          </w:tcPr>
          <w:p w14:paraId="439240CD" w14:textId="550E782D" w:rsidR="000D6658" w:rsidRPr="000D27EA"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t>Cooperation mechanisms in place to foster and support adaptation at relevant scales (e.g. local, subnational)</w:t>
            </w:r>
          </w:p>
        </w:tc>
      </w:tr>
      <w:tr w:rsidR="000D6658" w:rsidRPr="000D27EA" w14:paraId="0C1549C2" w14:textId="77777777" w:rsidTr="00461572">
        <w:tc>
          <w:tcPr>
            <w:tcW w:w="1549" w:type="dxa"/>
            <w:vMerge/>
          </w:tcPr>
          <w:p w14:paraId="3704F725" w14:textId="77777777" w:rsidR="000D6658" w:rsidRPr="000D27EA" w:rsidRDefault="000D6658" w:rsidP="00461572">
            <w:pPr>
              <w:widowControl w:val="0"/>
              <w:spacing w:after="120"/>
              <w:rPr>
                <w:rFonts w:ascii="Arial" w:hAnsi="Arial" w:cs="Arial"/>
                <w:color w:val="000000"/>
                <w:lang w:eastAsia="en-GB"/>
              </w:rPr>
            </w:pPr>
          </w:p>
        </w:tc>
        <w:tc>
          <w:tcPr>
            <w:tcW w:w="2646" w:type="dxa"/>
            <w:vMerge/>
          </w:tcPr>
          <w:p w14:paraId="5092D02F" w14:textId="6C55EA28" w:rsidR="000D6658" w:rsidRPr="000D27EA" w:rsidRDefault="000D6658" w:rsidP="00461572">
            <w:pPr>
              <w:widowControl w:val="0"/>
              <w:spacing w:after="120"/>
              <w:rPr>
                <w:rFonts w:ascii="Arial" w:hAnsi="Arial" w:cs="Arial"/>
                <w:color w:val="000000"/>
                <w:lang w:eastAsia="en-GB"/>
              </w:rPr>
            </w:pPr>
          </w:p>
        </w:tc>
        <w:tc>
          <w:tcPr>
            <w:tcW w:w="637" w:type="dxa"/>
            <w:vAlign w:val="center"/>
          </w:tcPr>
          <w:p w14:paraId="45E36007" w14:textId="4DBC6C47" w:rsidR="000D6658" w:rsidRPr="000D27EA" w:rsidRDefault="000D6658" w:rsidP="00461572">
            <w:pPr>
              <w:widowControl w:val="0"/>
              <w:spacing w:after="120"/>
              <w:jc w:val="center"/>
              <w:rPr>
                <w:rFonts w:ascii="Arial" w:hAnsi="Arial" w:cs="Arial"/>
                <w:color w:val="000000"/>
                <w:lang w:eastAsia="en-GB"/>
              </w:rPr>
            </w:pPr>
            <w:r w:rsidRPr="000D27EA">
              <w:rPr>
                <w:rFonts w:ascii="Arial" w:hAnsi="Arial" w:cs="Arial"/>
                <w:color w:val="000000"/>
                <w:lang w:eastAsia="en-GB"/>
              </w:rPr>
              <w:t>9c</w:t>
            </w:r>
          </w:p>
        </w:tc>
        <w:tc>
          <w:tcPr>
            <w:tcW w:w="5156" w:type="dxa"/>
            <w:gridSpan w:val="2"/>
          </w:tcPr>
          <w:p w14:paraId="3EE7D3CB" w14:textId="4D41A3C1" w:rsidR="000D6658" w:rsidRPr="000D27EA"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t xml:space="preserve">Procedures or guidelines are available to assess the potential impact of climate change on major projects or programmes, and facilitate the choice of alternative options, e.g. green infrastructure </w:t>
            </w:r>
          </w:p>
        </w:tc>
      </w:tr>
      <w:tr w:rsidR="000D6658" w:rsidRPr="000D27EA" w14:paraId="3961212D" w14:textId="77777777" w:rsidTr="00461572">
        <w:tc>
          <w:tcPr>
            <w:tcW w:w="1549" w:type="dxa"/>
            <w:vMerge/>
          </w:tcPr>
          <w:p w14:paraId="4F5EDA59" w14:textId="77777777" w:rsidR="000D6658" w:rsidRPr="000D27EA" w:rsidRDefault="000D6658" w:rsidP="00461572">
            <w:pPr>
              <w:widowControl w:val="0"/>
              <w:spacing w:after="120"/>
              <w:rPr>
                <w:rFonts w:ascii="Arial" w:hAnsi="Arial" w:cs="Arial"/>
                <w:color w:val="000000"/>
                <w:lang w:eastAsia="en-GB"/>
              </w:rPr>
            </w:pPr>
          </w:p>
        </w:tc>
        <w:tc>
          <w:tcPr>
            <w:tcW w:w="2646" w:type="dxa"/>
            <w:vMerge/>
          </w:tcPr>
          <w:p w14:paraId="3EBD6829" w14:textId="548A0E99" w:rsidR="000D6658" w:rsidRPr="000D27EA" w:rsidRDefault="000D6658" w:rsidP="00461572">
            <w:pPr>
              <w:widowControl w:val="0"/>
              <w:spacing w:after="120"/>
              <w:rPr>
                <w:rFonts w:ascii="Arial" w:hAnsi="Arial" w:cs="Arial"/>
                <w:color w:val="000000"/>
                <w:lang w:eastAsia="en-GB"/>
              </w:rPr>
            </w:pPr>
          </w:p>
        </w:tc>
        <w:tc>
          <w:tcPr>
            <w:tcW w:w="637" w:type="dxa"/>
            <w:vAlign w:val="center"/>
          </w:tcPr>
          <w:p w14:paraId="27BB5DFC" w14:textId="2B498699" w:rsidR="000D6658" w:rsidRPr="000D27EA" w:rsidRDefault="000D6658" w:rsidP="00461572">
            <w:pPr>
              <w:widowControl w:val="0"/>
              <w:spacing w:after="120"/>
              <w:jc w:val="center"/>
              <w:rPr>
                <w:rFonts w:ascii="Arial" w:hAnsi="Arial" w:cs="Arial"/>
                <w:color w:val="000000"/>
                <w:lang w:eastAsia="en-GB"/>
              </w:rPr>
            </w:pPr>
            <w:r w:rsidRPr="000D27EA">
              <w:rPr>
                <w:rFonts w:ascii="Arial" w:hAnsi="Arial" w:cs="Arial"/>
                <w:color w:val="000000"/>
                <w:lang w:eastAsia="en-GB"/>
              </w:rPr>
              <w:t>9d</w:t>
            </w:r>
          </w:p>
        </w:tc>
        <w:tc>
          <w:tcPr>
            <w:tcW w:w="5156" w:type="dxa"/>
            <w:gridSpan w:val="2"/>
          </w:tcPr>
          <w:p w14:paraId="5A116376" w14:textId="09E6AE67" w:rsidR="000D6658" w:rsidRPr="000D27EA"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t>There are processes for stakeholders' involvement in the implementation of adaptation policies and measures.</w:t>
            </w:r>
          </w:p>
        </w:tc>
      </w:tr>
      <w:tr w:rsidR="000D6658" w:rsidRPr="000D27EA" w14:paraId="0356C26A" w14:textId="77777777" w:rsidTr="00461572">
        <w:tc>
          <w:tcPr>
            <w:tcW w:w="1549" w:type="dxa"/>
            <w:vMerge w:val="restart"/>
          </w:tcPr>
          <w:p w14:paraId="176D6C46" w14:textId="77777777" w:rsidR="000D6658" w:rsidRPr="000D27EA"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t>Step 5:</w:t>
            </w:r>
          </w:p>
          <w:p w14:paraId="57162D27" w14:textId="5BDF7EA9" w:rsidR="000D6658" w:rsidRPr="000D27EA"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t>Monitoring and evaluation</w:t>
            </w:r>
          </w:p>
        </w:tc>
        <w:tc>
          <w:tcPr>
            <w:tcW w:w="2646" w:type="dxa"/>
            <w:vMerge w:val="restart"/>
          </w:tcPr>
          <w:p w14:paraId="712B4405" w14:textId="642DC9F4" w:rsidR="000D6658" w:rsidRPr="000D27EA"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t>10. Systems are in place to monitor and report on climate change adaptation, including adaptation-related expenditures, via relevant indicators</w:t>
            </w:r>
          </w:p>
        </w:tc>
        <w:tc>
          <w:tcPr>
            <w:tcW w:w="637" w:type="dxa"/>
            <w:vAlign w:val="center"/>
          </w:tcPr>
          <w:p w14:paraId="6F18C8D9" w14:textId="0351B8CD" w:rsidR="000D6658" w:rsidRPr="000D27EA" w:rsidRDefault="000D6658" w:rsidP="00461572">
            <w:pPr>
              <w:widowControl w:val="0"/>
              <w:spacing w:after="120"/>
              <w:jc w:val="center"/>
              <w:rPr>
                <w:rFonts w:ascii="Arial" w:hAnsi="Arial" w:cs="Arial"/>
                <w:color w:val="000000"/>
                <w:lang w:eastAsia="en-GB"/>
              </w:rPr>
            </w:pPr>
            <w:r w:rsidRPr="000D27EA">
              <w:rPr>
                <w:rFonts w:ascii="Arial" w:hAnsi="Arial" w:cs="Arial"/>
                <w:color w:val="000000"/>
                <w:lang w:eastAsia="en-GB"/>
              </w:rPr>
              <w:t>10a</w:t>
            </w:r>
          </w:p>
        </w:tc>
        <w:tc>
          <w:tcPr>
            <w:tcW w:w="5156" w:type="dxa"/>
            <w:gridSpan w:val="2"/>
          </w:tcPr>
          <w:p w14:paraId="24DE0D31" w14:textId="6A33EF77" w:rsidR="000D6658" w:rsidRPr="000D27EA" w:rsidDel="009F303E" w:rsidRDefault="000D6658" w:rsidP="00461572">
            <w:pPr>
              <w:widowControl w:val="0"/>
              <w:spacing w:after="120"/>
              <w:rPr>
                <w:rFonts w:ascii="Arial" w:hAnsi="Arial" w:cs="Arial"/>
                <w:color w:val="FF0000"/>
                <w:lang w:eastAsia="en-GB"/>
              </w:rPr>
            </w:pPr>
            <w:r w:rsidRPr="000D27EA">
              <w:rPr>
                <w:rFonts w:ascii="Arial" w:hAnsi="Arial" w:cs="Arial"/>
                <w:lang w:eastAsia="en-GB"/>
              </w:rPr>
              <w:t>Monitoring and reporting: Information on NAS/NAP implementation is monitored and the results of the monitoring are collected and disseminated.</w:t>
            </w:r>
          </w:p>
        </w:tc>
      </w:tr>
      <w:tr w:rsidR="000D6658" w:rsidRPr="000D27EA" w14:paraId="0FFB821C" w14:textId="77777777" w:rsidTr="00461572">
        <w:tc>
          <w:tcPr>
            <w:tcW w:w="1549" w:type="dxa"/>
            <w:vMerge/>
          </w:tcPr>
          <w:p w14:paraId="0B9B09BF" w14:textId="77777777" w:rsidR="000D6658" w:rsidRPr="000D27EA" w:rsidRDefault="000D6658" w:rsidP="00461572">
            <w:pPr>
              <w:widowControl w:val="0"/>
              <w:spacing w:after="120"/>
              <w:rPr>
                <w:rFonts w:ascii="Arial" w:hAnsi="Arial" w:cs="Arial"/>
                <w:color w:val="000000"/>
                <w:lang w:eastAsia="en-GB"/>
              </w:rPr>
            </w:pPr>
          </w:p>
        </w:tc>
        <w:tc>
          <w:tcPr>
            <w:tcW w:w="2646" w:type="dxa"/>
            <w:vMerge/>
          </w:tcPr>
          <w:p w14:paraId="018ACE91" w14:textId="08CF1666" w:rsidR="000D6658" w:rsidRPr="000D27EA" w:rsidRDefault="000D6658" w:rsidP="00461572">
            <w:pPr>
              <w:widowControl w:val="0"/>
              <w:spacing w:after="120"/>
              <w:rPr>
                <w:rFonts w:ascii="Arial" w:hAnsi="Arial" w:cs="Arial"/>
                <w:color w:val="000000"/>
                <w:lang w:eastAsia="en-GB"/>
              </w:rPr>
            </w:pPr>
          </w:p>
        </w:tc>
        <w:tc>
          <w:tcPr>
            <w:tcW w:w="637" w:type="dxa"/>
            <w:vAlign w:val="center"/>
          </w:tcPr>
          <w:p w14:paraId="5E429BC7" w14:textId="23DD72D3" w:rsidR="000D6658" w:rsidRPr="000D27EA" w:rsidRDefault="000D6658" w:rsidP="00461572">
            <w:pPr>
              <w:widowControl w:val="0"/>
              <w:spacing w:after="120"/>
              <w:jc w:val="center"/>
              <w:rPr>
                <w:rFonts w:ascii="Arial" w:hAnsi="Arial" w:cs="Arial"/>
                <w:color w:val="000000"/>
                <w:lang w:eastAsia="en-GB"/>
              </w:rPr>
            </w:pPr>
            <w:r w:rsidRPr="000D27EA">
              <w:rPr>
                <w:rFonts w:ascii="Arial" w:hAnsi="Arial" w:cs="Arial"/>
                <w:color w:val="000000"/>
                <w:lang w:eastAsia="en-GB"/>
              </w:rPr>
              <w:t>10b</w:t>
            </w:r>
          </w:p>
        </w:tc>
        <w:tc>
          <w:tcPr>
            <w:tcW w:w="5156" w:type="dxa"/>
            <w:gridSpan w:val="2"/>
          </w:tcPr>
          <w:p w14:paraId="3C5F18BB" w14:textId="224367DF" w:rsidR="000D6658" w:rsidRPr="000D27EA" w:rsidRDefault="000D6658" w:rsidP="00461572">
            <w:pPr>
              <w:widowControl w:val="0"/>
              <w:spacing w:after="120"/>
              <w:rPr>
                <w:rFonts w:ascii="Arial" w:hAnsi="Arial" w:cs="Arial"/>
                <w:color w:val="FF0000"/>
                <w:lang w:eastAsia="en-GB"/>
              </w:rPr>
            </w:pPr>
            <w:r w:rsidRPr="000D27EA">
              <w:rPr>
                <w:rFonts w:ascii="Arial" w:hAnsi="Arial" w:cs="Arial"/>
                <w:lang w:eastAsia="en-GB"/>
              </w:rPr>
              <w:t xml:space="preserve">Monitoring and reporting: The integration of climate change adaptation in sectoral policies is monitored and the results of the monitoring are disseminated. </w:t>
            </w:r>
          </w:p>
        </w:tc>
      </w:tr>
      <w:tr w:rsidR="000D6658" w:rsidRPr="000D27EA" w14:paraId="56F53E0A" w14:textId="77777777" w:rsidTr="00461572">
        <w:tc>
          <w:tcPr>
            <w:tcW w:w="1549" w:type="dxa"/>
            <w:vMerge/>
          </w:tcPr>
          <w:p w14:paraId="62C7A175" w14:textId="77777777" w:rsidR="000D6658" w:rsidRPr="000D27EA" w:rsidRDefault="000D6658" w:rsidP="00461572">
            <w:pPr>
              <w:widowControl w:val="0"/>
              <w:spacing w:after="120"/>
              <w:rPr>
                <w:rFonts w:ascii="Arial" w:hAnsi="Arial" w:cs="Arial"/>
                <w:color w:val="000000"/>
                <w:lang w:eastAsia="en-GB"/>
              </w:rPr>
            </w:pPr>
          </w:p>
        </w:tc>
        <w:tc>
          <w:tcPr>
            <w:tcW w:w="2646" w:type="dxa"/>
            <w:vMerge/>
          </w:tcPr>
          <w:p w14:paraId="71EF60E3" w14:textId="55D18AD3" w:rsidR="000D6658" w:rsidRPr="000D27EA" w:rsidRDefault="000D6658" w:rsidP="00461572">
            <w:pPr>
              <w:widowControl w:val="0"/>
              <w:spacing w:after="120"/>
              <w:rPr>
                <w:rFonts w:ascii="Arial" w:hAnsi="Arial" w:cs="Arial"/>
                <w:color w:val="000000"/>
                <w:lang w:eastAsia="en-GB"/>
              </w:rPr>
            </w:pPr>
          </w:p>
        </w:tc>
        <w:tc>
          <w:tcPr>
            <w:tcW w:w="637" w:type="dxa"/>
            <w:vAlign w:val="center"/>
          </w:tcPr>
          <w:p w14:paraId="0C91506E" w14:textId="45232FD9" w:rsidR="000D6658" w:rsidRPr="000D27EA" w:rsidRDefault="000D6658" w:rsidP="00461572">
            <w:pPr>
              <w:widowControl w:val="0"/>
              <w:spacing w:after="120"/>
              <w:jc w:val="center"/>
              <w:rPr>
                <w:rFonts w:ascii="Arial" w:hAnsi="Arial" w:cs="Arial"/>
                <w:color w:val="000000"/>
                <w:lang w:eastAsia="en-GB"/>
              </w:rPr>
            </w:pPr>
            <w:r w:rsidRPr="000D27EA">
              <w:rPr>
                <w:rFonts w:ascii="Arial" w:hAnsi="Arial" w:cs="Arial"/>
                <w:color w:val="000000"/>
                <w:lang w:eastAsia="en-GB"/>
              </w:rPr>
              <w:t>10c</w:t>
            </w:r>
          </w:p>
        </w:tc>
        <w:tc>
          <w:tcPr>
            <w:tcW w:w="5156" w:type="dxa"/>
            <w:gridSpan w:val="2"/>
          </w:tcPr>
          <w:p w14:paraId="3DC7413C" w14:textId="461BD77C" w:rsidR="000D6658" w:rsidRPr="000D27EA" w:rsidRDefault="000D6658" w:rsidP="00461572">
            <w:pPr>
              <w:widowControl w:val="0"/>
              <w:spacing w:after="120"/>
              <w:rPr>
                <w:rFonts w:ascii="Arial" w:hAnsi="Arial" w:cs="Arial"/>
                <w:color w:val="000000"/>
                <w:lang w:eastAsia="en-GB"/>
              </w:rPr>
            </w:pPr>
            <w:r w:rsidRPr="000D27EA">
              <w:rPr>
                <w:rFonts w:ascii="Arial" w:hAnsi="Arial" w:cs="Arial"/>
                <w:lang w:eastAsia="en-GB"/>
              </w:rPr>
              <w:t xml:space="preserve">Monitoring and reporting: Information on </w:t>
            </w:r>
            <w:r>
              <w:rPr>
                <w:rFonts w:ascii="Arial" w:hAnsi="Arial" w:cs="Arial"/>
                <w:lang w:eastAsia="en-GB"/>
              </w:rPr>
              <w:t>r</w:t>
            </w:r>
            <w:r w:rsidRPr="000D27EA">
              <w:rPr>
                <w:rFonts w:ascii="Arial" w:hAnsi="Arial" w:cs="Arial"/>
                <w:lang w:eastAsia="en-GB"/>
              </w:rPr>
              <w:t xml:space="preserve">egional, sub-national or local action is monitored and the results of the monitoring are </w:t>
            </w:r>
            <w:r w:rsidRPr="000D27EA">
              <w:rPr>
                <w:rFonts w:ascii="Arial" w:hAnsi="Arial" w:cs="Arial"/>
                <w:color w:val="000000"/>
                <w:lang w:eastAsia="en-GB"/>
              </w:rPr>
              <w:t xml:space="preserve">collected and disseminated </w:t>
            </w:r>
          </w:p>
        </w:tc>
      </w:tr>
      <w:tr w:rsidR="000D6658" w:rsidRPr="000D27EA" w14:paraId="0E81C1A1" w14:textId="77777777" w:rsidTr="00461572">
        <w:tc>
          <w:tcPr>
            <w:tcW w:w="1549" w:type="dxa"/>
            <w:vMerge/>
          </w:tcPr>
          <w:p w14:paraId="0B3257A4" w14:textId="77777777" w:rsidR="000D6658" w:rsidRPr="000D27EA" w:rsidRDefault="000D6658" w:rsidP="00461572">
            <w:pPr>
              <w:widowControl w:val="0"/>
              <w:spacing w:after="120"/>
              <w:rPr>
                <w:rFonts w:ascii="Arial" w:hAnsi="Arial" w:cs="Arial"/>
                <w:color w:val="000000"/>
                <w:lang w:eastAsia="en-GB"/>
              </w:rPr>
            </w:pPr>
          </w:p>
        </w:tc>
        <w:tc>
          <w:tcPr>
            <w:tcW w:w="2646" w:type="dxa"/>
            <w:vMerge w:val="restart"/>
          </w:tcPr>
          <w:p w14:paraId="412FEDB3" w14:textId="0C4E73BF" w:rsidR="000D6658" w:rsidRPr="000D27EA"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t>11. An evaluation framework is in place to assess whether adaptation policy objectives are met and a periodic review of the adaptation strategy is planned</w:t>
            </w:r>
          </w:p>
        </w:tc>
        <w:tc>
          <w:tcPr>
            <w:tcW w:w="637" w:type="dxa"/>
            <w:vAlign w:val="center"/>
          </w:tcPr>
          <w:p w14:paraId="1959E77E" w14:textId="0764CD98" w:rsidR="000D6658" w:rsidRPr="000D27EA" w:rsidRDefault="000D6658" w:rsidP="00461572">
            <w:pPr>
              <w:widowControl w:val="0"/>
              <w:spacing w:after="120"/>
              <w:jc w:val="center"/>
              <w:rPr>
                <w:rFonts w:ascii="Arial" w:hAnsi="Arial" w:cs="Arial"/>
                <w:color w:val="000000"/>
                <w:lang w:eastAsia="en-GB"/>
              </w:rPr>
            </w:pPr>
            <w:r w:rsidRPr="000D27EA">
              <w:rPr>
                <w:rFonts w:ascii="Arial" w:hAnsi="Arial" w:cs="Arial"/>
                <w:color w:val="000000"/>
                <w:lang w:eastAsia="en-GB"/>
              </w:rPr>
              <w:t>11a</w:t>
            </w:r>
          </w:p>
        </w:tc>
        <w:tc>
          <w:tcPr>
            <w:tcW w:w="5156" w:type="dxa"/>
            <w:gridSpan w:val="2"/>
          </w:tcPr>
          <w:p w14:paraId="291288CB" w14:textId="51351BCB" w:rsidR="000D6658" w:rsidRPr="000D27EA"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t xml:space="preserve"> A periodic review of the national adaptation strategy and action plans is planned </w:t>
            </w:r>
          </w:p>
        </w:tc>
      </w:tr>
      <w:tr w:rsidR="000D6658" w:rsidRPr="001D3BF2" w14:paraId="22F84778" w14:textId="77777777" w:rsidTr="00461572">
        <w:tc>
          <w:tcPr>
            <w:tcW w:w="1549" w:type="dxa"/>
            <w:vMerge/>
          </w:tcPr>
          <w:p w14:paraId="5BA05EE1" w14:textId="77777777" w:rsidR="000D6658" w:rsidRPr="000D27EA" w:rsidRDefault="000D6658" w:rsidP="00461572">
            <w:pPr>
              <w:widowControl w:val="0"/>
              <w:spacing w:after="120"/>
              <w:rPr>
                <w:rFonts w:ascii="Arial" w:hAnsi="Arial" w:cs="Arial"/>
                <w:color w:val="000000"/>
                <w:lang w:eastAsia="en-GB"/>
              </w:rPr>
            </w:pPr>
          </w:p>
        </w:tc>
        <w:tc>
          <w:tcPr>
            <w:tcW w:w="2646" w:type="dxa"/>
            <w:vMerge/>
          </w:tcPr>
          <w:p w14:paraId="41323661" w14:textId="2558D2EC" w:rsidR="000D6658" w:rsidRPr="000D27EA" w:rsidRDefault="000D6658" w:rsidP="00461572">
            <w:pPr>
              <w:widowControl w:val="0"/>
              <w:spacing w:after="120"/>
              <w:rPr>
                <w:rFonts w:ascii="Arial" w:hAnsi="Arial" w:cs="Arial"/>
                <w:color w:val="000000"/>
                <w:lang w:eastAsia="en-GB"/>
              </w:rPr>
            </w:pPr>
          </w:p>
        </w:tc>
        <w:tc>
          <w:tcPr>
            <w:tcW w:w="637" w:type="dxa"/>
            <w:vAlign w:val="center"/>
          </w:tcPr>
          <w:p w14:paraId="22EE0220" w14:textId="66BECFAE" w:rsidR="000D6658" w:rsidRPr="000D27EA" w:rsidRDefault="000D6658" w:rsidP="00461572">
            <w:pPr>
              <w:widowControl w:val="0"/>
              <w:spacing w:after="120"/>
              <w:jc w:val="center"/>
              <w:rPr>
                <w:rFonts w:ascii="Arial" w:hAnsi="Arial" w:cs="Arial"/>
                <w:color w:val="000000"/>
                <w:lang w:eastAsia="en-GB"/>
              </w:rPr>
            </w:pPr>
            <w:r w:rsidRPr="000D27EA">
              <w:rPr>
                <w:rFonts w:ascii="Arial" w:hAnsi="Arial" w:cs="Arial"/>
                <w:color w:val="000000"/>
                <w:lang w:eastAsia="en-GB"/>
              </w:rPr>
              <w:t>11b</w:t>
            </w:r>
          </w:p>
        </w:tc>
        <w:tc>
          <w:tcPr>
            <w:tcW w:w="5156" w:type="dxa"/>
            <w:gridSpan w:val="2"/>
          </w:tcPr>
          <w:p w14:paraId="1FD447CA" w14:textId="5BA7D667" w:rsidR="000D6658" w:rsidRPr="000D27EA" w:rsidRDefault="000D6658" w:rsidP="00461572">
            <w:pPr>
              <w:widowControl w:val="0"/>
              <w:spacing w:after="120"/>
              <w:rPr>
                <w:rFonts w:ascii="Arial" w:hAnsi="Arial" w:cs="Arial"/>
                <w:color w:val="000000"/>
                <w:lang w:eastAsia="en-GB"/>
              </w:rPr>
            </w:pPr>
            <w:r w:rsidRPr="000D27EA">
              <w:rPr>
                <w:rFonts w:ascii="Arial" w:hAnsi="Arial" w:cs="Arial"/>
                <w:color w:val="000000"/>
                <w:lang w:eastAsia="en-GB"/>
              </w:rPr>
              <w:t>Stakeholders are involved in the assessment, evaluation and review of national adaptation policy</w:t>
            </w:r>
          </w:p>
        </w:tc>
      </w:tr>
    </w:tbl>
    <w:p w14:paraId="29DA8E27" w14:textId="77777777" w:rsidR="00975958" w:rsidRDefault="00A02848" w:rsidP="00461572"/>
    <w:sectPr w:rsidR="00975958" w:rsidSect="000D6658">
      <w:footerReference w:type="default" r:id="rId11"/>
      <w:pgSz w:w="11906" w:h="16838"/>
      <w:pgMar w:top="720" w:right="720" w:bottom="720" w:left="720" w:header="708" w:footer="4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CF8DB" w14:textId="77777777" w:rsidR="00A02848" w:rsidRDefault="00A02848" w:rsidP="001D3BF2">
      <w:pPr>
        <w:spacing w:after="0" w:line="240" w:lineRule="auto"/>
      </w:pPr>
      <w:r>
        <w:separator/>
      </w:r>
    </w:p>
  </w:endnote>
  <w:endnote w:type="continuationSeparator" w:id="0">
    <w:p w14:paraId="3655F81F" w14:textId="77777777" w:rsidR="00A02848" w:rsidRDefault="00A02848" w:rsidP="001D3BF2">
      <w:pPr>
        <w:spacing w:after="0" w:line="240" w:lineRule="auto"/>
      </w:pPr>
      <w:r>
        <w:continuationSeparator/>
      </w:r>
    </w:p>
  </w:endnote>
  <w:endnote w:type="continuationNotice" w:id="1">
    <w:p w14:paraId="303730A4" w14:textId="77777777" w:rsidR="00A02848" w:rsidRDefault="00A028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775803"/>
      <w:docPartObj>
        <w:docPartGallery w:val="Page Numbers (Bottom of Page)"/>
        <w:docPartUnique/>
      </w:docPartObj>
    </w:sdtPr>
    <w:sdtEndPr>
      <w:rPr>
        <w:noProof/>
      </w:rPr>
    </w:sdtEndPr>
    <w:sdtContent>
      <w:p w14:paraId="38DE8250" w14:textId="74ED0ED6" w:rsidR="00C40ECC" w:rsidRDefault="00461572" w:rsidP="00461572">
        <w:pPr>
          <w:pStyle w:val="Footer"/>
          <w:tabs>
            <w:tab w:val="clear" w:pos="4536"/>
            <w:tab w:val="clear" w:pos="9072"/>
            <w:tab w:val="left" w:pos="4588"/>
          </w:tabs>
        </w:pPr>
        <w:r>
          <w:tab/>
        </w:r>
      </w:p>
      <w:p w14:paraId="4B39F840" w14:textId="77777777" w:rsidR="00C40ECC" w:rsidRPr="005C2505" w:rsidRDefault="00C40ECC" w:rsidP="00C40ECC">
        <w:pPr>
          <w:pStyle w:val="Footer"/>
          <w:rPr>
            <w:sz w:val="16"/>
            <w:szCs w:val="16"/>
          </w:rPr>
        </w:pPr>
      </w:p>
      <w:p w14:paraId="09F58A24" w14:textId="3A11402D" w:rsidR="001D3BF2" w:rsidRDefault="001D3BF2">
        <w:pPr>
          <w:pStyle w:val="Footer"/>
          <w:jc w:val="center"/>
        </w:pPr>
        <w:r>
          <w:fldChar w:fldCharType="begin"/>
        </w:r>
        <w:r>
          <w:instrText xml:space="preserve"> PAGE   \* MERGEFORMAT </w:instrText>
        </w:r>
        <w:r>
          <w:fldChar w:fldCharType="separate"/>
        </w:r>
        <w:r w:rsidR="00461572">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B6BD9" w14:textId="77777777" w:rsidR="00A02848" w:rsidRDefault="00A02848" w:rsidP="001D3BF2">
      <w:pPr>
        <w:spacing w:after="0" w:line="240" w:lineRule="auto"/>
      </w:pPr>
      <w:r>
        <w:separator/>
      </w:r>
    </w:p>
  </w:footnote>
  <w:footnote w:type="continuationSeparator" w:id="0">
    <w:p w14:paraId="7C98A71E" w14:textId="77777777" w:rsidR="00A02848" w:rsidRDefault="00A02848" w:rsidP="001D3BF2">
      <w:pPr>
        <w:spacing w:after="0" w:line="240" w:lineRule="auto"/>
      </w:pPr>
      <w:r>
        <w:continuationSeparator/>
      </w:r>
    </w:p>
  </w:footnote>
  <w:footnote w:type="continuationNotice" w:id="1">
    <w:p w14:paraId="2A045244" w14:textId="77777777" w:rsidR="00A02848" w:rsidRDefault="00A02848">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D3BF2"/>
    <w:rsid w:val="00005C5E"/>
    <w:rsid w:val="000068AB"/>
    <w:rsid w:val="000074D8"/>
    <w:rsid w:val="000257C1"/>
    <w:rsid w:val="000324C9"/>
    <w:rsid w:val="00056C39"/>
    <w:rsid w:val="00066D1D"/>
    <w:rsid w:val="00071D53"/>
    <w:rsid w:val="00092BC4"/>
    <w:rsid w:val="000B2B41"/>
    <w:rsid w:val="000B3573"/>
    <w:rsid w:val="000D27EA"/>
    <w:rsid w:val="000D6658"/>
    <w:rsid w:val="000E45E0"/>
    <w:rsid w:val="000E5E1B"/>
    <w:rsid w:val="000F0205"/>
    <w:rsid w:val="001022D4"/>
    <w:rsid w:val="00103316"/>
    <w:rsid w:val="00111B98"/>
    <w:rsid w:val="00112843"/>
    <w:rsid w:val="001167DF"/>
    <w:rsid w:val="00121A49"/>
    <w:rsid w:val="0013125B"/>
    <w:rsid w:val="00136B64"/>
    <w:rsid w:val="00152530"/>
    <w:rsid w:val="0015357A"/>
    <w:rsid w:val="0015753C"/>
    <w:rsid w:val="00162080"/>
    <w:rsid w:val="0017329E"/>
    <w:rsid w:val="00180DD4"/>
    <w:rsid w:val="001A185D"/>
    <w:rsid w:val="001A64D8"/>
    <w:rsid w:val="001B2788"/>
    <w:rsid w:val="001D234D"/>
    <w:rsid w:val="001D3BF2"/>
    <w:rsid w:val="001E7314"/>
    <w:rsid w:val="001F0614"/>
    <w:rsid w:val="001F247B"/>
    <w:rsid w:val="001F3C50"/>
    <w:rsid w:val="00205B86"/>
    <w:rsid w:val="00222A2C"/>
    <w:rsid w:val="00230F2B"/>
    <w:rsid w:val="00230FCD"/>
    <w:rsid w:val="00235DDA"/>
    <w:rsid w:val="0024193B"/>
    <w:rsid w:val="0025106C"/>
    <w:rsid w:val="00266CDA"/>
    <w:rsid w:val="00273ED7"/>
    <w:rsid w:val="00276302"/>
    <w:rsid w:val="002858C1"/>
    <w:rsid w:val="002859F7"/>
    <w:rsid w:val="00296D65"/>
    <w:rsid w:val="002B0ABC"/>
    <w:rsid w:val="002B11FB"/>
    <w:rsid w:val="002B7E70"/>
    <w:rsid w:val="002C027C"/>
    <w:rsid w:val="002C5382"/>
    <w:rsid w:val="002E3982"/>
    <w:rsid w:val="00304A41"/>
    <w:rsid w:val="00307904"/>
    <w:rsid w:val="00314F0A"/>
    <w:rsid w:val="00342945"/>
    <w:rsid w:val="00352808"/>
    <w:rsid w:val="00363846"/>
    <w:rsid w:val="00365F7B"/>
    <w:rsid w:val="0037381A"/>
    <w:rsid w:val="00384877"/>
    <w:rsid w:val="00385210"/>
    <w:rsid w:val="00391FA9"/>
    <w:rsid w:val="00393359"/>
    <w:rsid w:val="003975B4"/>
    <w:rsid w:val="003A009D"/>
    <w:rsid w:val="003A34E0"/>
    <w:rsid w:val="003A7769"/>
    <w:rsid w:val="003B37D4"/>
    <w:rsid w:val="003B61CB"/>
    <w:rsid w:val="003C7393"/>
    <w:rsid w:val="003C76F5"/>
    <w:rsid w:val="003D0763"/>
    <w:rsid w:val="003D17DB"/>
    <w:rsid w:val="003D532D"/>
    <w:rsid w:val="003D5B42"/>
    <w:rsid w:val="003E4A55"/>
    <w:rsid w:val="003E6777"/>
    <w:rsid w:val="003F049A"/>
    <w:rsid w:val="003F7A2E"/>
    <w:rsid w:val="00401C16"/>
    <w:rsid w:val="00401FC5"/>
    <w:rsid w:val="004048B7"/>
    <w:rsid w:val="00405F35"/>
    <w:rsid w:val="00407637"/>
    <w:rsid w:val="004115DF"/>
    <w:rsid w:val="00423396"/>
    <w:rsid w:val="00430E46"/>
    <w:rsid w:val="00432AED"/>
    <w:rsid w:val="004428E8"/>
    <w:rsid w:val="00442E02"/>
    <w:rsid w:val="00445A06"/>
    <w:rsid w:val="00461572"/>
    <w:rsid w:val="004804B5"/>
    <w:rsid w:val="004819E3"/>
    <w:rsid w:val="00490DEC"/>
    <w:rsid w:val="004A07D5"/>
    <w:rsid w:val="004A4EA8"/>
    <w:rsid w:val="004C12C6"/>
    <w:rsid w:val="004C5736"/>
    <w:rsid w:val="004D0D82"/>
    <w:rsid w:val="004E37B3"/>
    <w:rsid w:val="004F61EE"/>
    <w:rsid w:val="00500BAC"/>
    <w:rsid w:val="00506E18"/>
    <w:rsid w:val="00514292"/>
    <w:rsid w:val="0051490E"/>
    <w:rsid w:val="00515472"/>
    <w:rsid w:val="00516334"/>
    <w:rsid w:val="00520DEF"/>
    <w:rsid w:val="0054532A"/>
    <w:rsid w:val="00545402"/>
    <w:rsid w:val="005529EC"/>
    <w:rsid w:val="0055431B"/>
    <w:rsid w:val="00557E29"/>
    <w:rsid w:val="00570C65"/>
    <w:rsid w:val="00582FA5"/>
    <w:rsid w:val="005863B5"/>
    <w:rsid w:val="005872C8"/>
    <w:rsid w:val="0059080C"/>
    <w:rsid w:val="00596796"/>
    <w:rsid w:val="00596DDD"/>
    <w:rsid w:val="00597DEB"/>
    <w:rsid w:val="005A39CD"/>
    <w:rsid w:val="005A711C"/>
    <w:rsid w:val="005B0932"/>
    <w:rsid w:val="005B2389"/>
    <w:rsid w:val="005B409F"/>
    <w:rsid w:val="005C69E7"/>
    <w:rsid w:val="005D0DFE"/>
    <w:rsid w:val="005D4E92"/>
    <w:rsid w:val="00600AD8"/>
    <w:rsid w:val="0061334C"/>
    <w:rsid w:val="00614A27"/>
    <w:rsid w:val="00620094"/>
    <w:rsid w:val="00620185"/>
    <w:rsid w:val="0062020C"/>
    <w:rsid w:val="006216B1"/>
    <w:rsid w:val="00622119"/>
    <w:rsid w:val="00633378"/>
    <w:rsid w:val="00637D7F"/>
    <w:rsid w:val="00651154"/>
    <w:rsid w:val="00651E75"/>
    <w:rsid w:val="0065552F"/>
    <w:rsid w:val="006760A5"/>
    <w:rsid w:val="00680BB2"/>
    <w:rsid w:val="00681077"/>
    <w:rsid w:val="00693E6C"/>
    <w:rsid w:val="006B1F7E"/>
    <w:rsid w:val="006D7D85"/>
    <w:rsid w:val="006E3DAC"/>
    <w:rsid w:val="006E52C6"/>
    <w:rsid w:val="006E750E"/>
    <w:rsid w:val="006F0099"/>
    <w:rsid w:val="006F5E0F"/>
    <w:rsid w:val="006F67C4"/>
    <w:rsid w:val="0070368E"/>
    <w:rsid w:val="007043CF"/>
    <w:rsid w:val="00704608"/>
    <w:rsid w:val="00711EC1"/>
    <w:rsid w:val="007230B4"/>
    <w:rsid w:val="00740C7F"/>
    <w:rsid w:val="0074369E"/>
    <w:rsid w:val="00752DA5"/>
    <w:rsid w:val="0075310A"/>
    <w:rsid w:val="00753638"/>
    <w:rsid w:val="00755F40"/>
    <w:rsid w:val="00763F14"/>
    <w:rsid w:val="007732A6"/>
    <w:rsid w:val="00776E74"/>
    <w:rsid w:val="00777469"/>
    <w:rsid w:val="007871FE"/>
    <w:rsid w:val="007900EE"/>
    <w:rsid w:val="007A1245"/>
    <w:rsid w:val="007A1EA8"/>
    <w:rsid w:val="007A6312"/>
    <w:rsid w:val="007B4F7F"/>
    <w:rsid w:val="007B5FEA"/>
    <w:rsid w:val="007C0FF2"/>
    <w:rsid w:val="007C78E9"/>
    <w:rsid w:val="00802640"/>
    <w:rsid w:val="00802CEE"/>
    <w:rsid w:val="008046C6"/>
    <w:rsid w:val="00804D05"/>
    <w:rsid w:val="00807D93"/>
    <w:rsid w:val="00810BC0"/>
    <w:rsid w:val="00814C6F"/>
    <w:rsid w:val="00817A3C"/>
    <w:rsid w:val="00821F15"/>
    <w:rsid w:val="00826771"/>
    <w:rsid w:val="00831248"/>
    <w:rsid w:val="00831A23"/>
    <w:rsid w:val="0083224B"/>
    <w:rsid w:val="008344E1"/>
    <w:rsid w:val="00851184"/>
    <w:rsid w:val="00862CA0"/>
    <w:rsid w:val="008651F6"/>
    <w:rsid w:val="0086730C"/>
    <w:rsid w:val="00870239"/>
    <w:rsid w:val="00875594"/>
    <w:rsid w:val="008C2891"/>
    <w:rsid w:val="008C3068"/>
    <w:rsid w:val="008C69F6"/>
    <w:rsid w:val="008C7357"/>
    <w:rsid w:val="008D7BAB"/>
    <w:rsid w:val="008E01C4"/>
    <w:rsid w:val="008E56F7"/>
    <w:rsid w:val="0091301A"/>
    <w:rsid w:val="0092376B"/>
    <w:rsid w:val="00924A8C"/>
    <w:rsid w:val="00924EA2"/>
    <w:rsid w:val="009257E2"/>
    <w:rsid w:val="00930806"/>
    <w:rsid w:val="00930C7B"/>
    <w:rsid w:val="00935CB7"/>
    <w:rsid w:val="009407FB"/>
    <w:rsid w:val="00946056"/>
    <w:rsid w:val="0094605A"/>
    <w:rsid w:val="00972196"/>
    <w:rsid w:val="009729F3"/>
    <w:rsid w:val="00983895"/>
    <w:rsid w:val="009A43CA"/>
    <w:rsid w:val="009A492B"/>
    <w:rsid w:val="009A577B"/>
    <w:rsid w:val="009D2CE0"/>
    <w:rsid w:val="009D3E14"/>
    <w:rsid w:val="009E22D1"/>
    <w:rsid w:val="009E652F"/>
    <w:rsid w:val="009F16B2"/>
    <w:rsid w:val="009F303E"/>
    <w:rsid w:val="00A02848"/>
    <w:rsid w:val="00A07BFA"/>
    <w:rsid w:val="00A13626"/>
    <w:rsid w:val="00A14207"/>
    <w:rsid w:val="00A16A5A"/>
    <w:rsid w:val="00A51287"/>
    <w:rsid w:val="00A829FD"/>
    <w:rsid w:val="00A83989"/>
    <w:rsid w:val="00A872D0"/>
    <w:rsid w:val="00A87634"/>
    <w:rsid w:val="00A930DA"/>
    <w:rsid w:val="00A96B39"/>
    <w:rsid w:val="00AA2F94"/>
    <w:rsid w:val="00AA330B"/>
    <w:rsid w:val="00AD08F0"/>
    <w:rsid w:val="00AF1220"/>
    <w:rsid w:val="00AF2414"/>
    <w:rsid w:val="00AF2B90"/>
    <w:rsid w:val="00AF2C59"/>
    <w:rsid w:val="00AF3920"/>
    <w:rsid w:val="00AF608A"/>
    <w:rsid w:val="00B032AF"/>
    <w:rsid w:val="00B04CCD"/>
    <w:rsid w:val="00B0745E"/>
    <w:rsid w:val="00B45046"/>
    <w:rsid w:val="00B522CC"/>
    <w:rsid w:val="00B548A4"/>
    <w:rsid w:val="00B73FE5"/>
    <w:rsid w:val="00B81764"/>
    <w:rsid w:val="00B826CA"/>
    <w:rsid w:val="00B91D31"/>
    <w:rsid w:val="00B93F90"/>
    <w:rsid w:val="00BB22A2"/>
    <w:rsid w:val="00BB2B8F"/>
    <w:rsid w:val="00BC3C4A"/>
    <w:rsid w:val="00BD4104"/>
    <w:rsid w:val="00BE1A5F"/>
    <w:rsid w:val="00BF558F"/>
    <w:rsid w:val="00BF594A"/>
    <w:rsid w:val="00C0634A"/>
    <w:rsid w:val="00C075EB"/>
    <w:rsid w:val="00C2041B"/>
    <w:rsid w:val="00C354D6"/>
    <w:rsid w:val="00C40ECC"/>
    <w:rsid w:val="00C60B31"/>
    <w:rsid w:val="00C62BE0"/>
    <w:rsid w:val="00C76F55"/>
    <w:rsid w:val="00C870B6"/>
    <w:rsid w:val="00C972EF"/>
    <w:rsid w:val="00CA0AEA"/>
    <w:rsid w:val="00CA5449"/>
    <w:rsid w:val="00CA600B"/>
    <w:rsid w:val="00CA7675"/>
    <w:rsid w:val="00CB4964"/>
    <w:rsid w:val="00CD4EF2"/>
    <w:rsid w:val="00CD5327"/>
    <w:rsid w:val="00CE5BF1"/>
    <w:rsid w:val="00CE7CE8"/>
    <w:rsid w:val="00D03EAB"/>
    <w:rsid w:val="00D132F0"/>
    <w:rsid w:val="00D1754F"/>
    <w:rsid w:val="00D26F12"/>
    <w:rsid w:val="00D31B9E"/>
    <w:rsid w:val="00D33B1F"/>
    <w:rsid w:val="00D36378"/>
    <w:rsid w:val="00D41B56"/>
    <w:rsid w:val="00D4714C"/>
    <w:rsid w:val="00D66B4B"/>
    <w:rsid w:val="00D6781B"/>
    <w:rsid w:val="00D716CA"/>
    <w:rsid w:val="00D815AF"/>
    <w:rsid w:val="00D828FE"/>
    <w:rsid w:val="00D927FC"/>
    <w:rsid w:val="00D92E6A"/>
    <w:rsid w:val="00D93CDB"/>
    <w:rsid w:val="00D95993"/>
    <w:rsid w:val="00D96A2D"/>
    <w:rsid w:val="00D97FE6"/>
    <w:rsid w:val="00DA0B49"/>
    <w:rsid w:val="00DA6586"/>
    <w:rsid w:val="00DB4BEF"/>
    <w:rsid w:val="00DB6717"/>
    <w:rsid w:val="00DC4915"/>
    <w:rsid w:val="00DD36F6"/>
    <w:rsid w:val="00DF4BE2"/>
    <w:rsid w:val="00E13F88"/>
    <w:rsid w:val="00E14EA8"/>
    <w:rsid w:val="00E311CE"/>
    <w:rsid w:val="00E31BAC"/>
    <w:rsid w:val="00E36E5B"/>
    <w:rsid w:val="00E55959"/>
    <w:rsid w:val="00E643BC"/>
    <w:rsid w:val="00E70D3E"/>
    <w:rsid w:val="00E9715B"/>
    <w:rsid w:val="00EA267A"/>
    <w:rsid w:val="00EC4170"/>
    <w:rsid w:val="00EF7F4A"/>
    <w:rsid w:val="00F0200F"/>
    <w:rsid w:val="00F07902"/>
    <w:rsid w:val="00F10FE0"/>
    <w:rsid w:val="00F12C62"/>
    <w:rsid w:val="00F142C0"/>
    <w:rsid w:val="00F15F41"/>
    <w:rsid w:val="00F20096"/>
    <w:rsid w:val="00F22B82"/>
    <w:rsid w:val="00F3390B"/>
    <w:rsid w:val="00F343A9"/>
    <w:rsid w:val="00F37767"/>
    <w:rsid w:val="00F40777"/>
    <w:rsid w:val="00F46B8F"/>
    <w:rsid w:val="00F627A9"/>
    <w:rsid w:val="00F62BDF"/>
    <w:rsid w:val="00F65CA3"/>
    <w:rsid w:val="00F757DB"/>
    <w:rsid w:val="00F77C0D"/>
    <w:rsid w:val="00F9139E"/>
    <w:rsid w:val="00FB1C22"/>
    <w:rsid w:val="00FB2A5D"/>
    <w:rsid w:val="00FB2E80"/>
    <w:rsid w:val="00FB5B77"/>
    <w:rsid w:val="00FD22B8"/>
    <w:rsid w:val="00FD5C2F"/>
    <w:rsid w:val="00FE1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D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3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3BF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3BF2"/>
  </w:style>
  <w:style w:type="paragraph" w:styleId="Footer">
    <w:name w:val="footer"/>
    <w:basedOn w:val="Normal"/>
    <w:link w:val="FooterChar"/>
    <w:uiPriority w:val="99"/>
    <w:unhideWhenUsed/>
    <w:rsid w:val="001D3BF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3BF2"/>
  </w:style>
  <w:style w:type="paragraph" w:styleId="BalloonText">
    <w:name w:val="Balloon Text"/>
    <w:basedOn w:val="Normal"/>
    <w:link w:val="BalloonTextChar"/>
    <w:uiPriority w:val="99"/>
    <w:semiHidden/>
    <w:unhideWhenUsed/>
    <w:rsid w:val="00870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239"/>
    <w:rPr>
      <w:rFonts w:ascii="Segoe UI" w:hAnsi="Segoe UI" w:cs="Segoe UI"/>
      <w:sz w:val="18"/>
      <w:szCs w:val="18"/>
    </w:rPr>
  </w:style>
  <w:style w:type="character" w:styleId="CommentReference">
    <w:name w:val="annotation reference"/>
    <w:basedOn w:val="DefaultParagraphFont"/>
    <w:uiPriority w:val="99"/>
    <w:semiHidden/>
    <w:unhideWhenUsed/>
    <w:rsid w:val="00875594"/>
    <w:rPr>
      <w:sz w:val="16"/>
      <w:szCs w:val="16"/>
    </w:rPr>
  </w:style>
  <w:style w:type="paragraph" w:styleId="CommentText">
    <w:name w:val="annotation text"/>
    <w:basedOn w:val="Normal"/>
    <w:link w:val="CommentTextChar"/>
    <w:uiPriority w:val="99"/>
    <w:semiHidden/>
    <w:unhideWhenUsed/>
    <w:rsid w:val="00875594"/>
    <w:pPr>
      <w:spacing w:line="240" w:lineRule="auto"/>
    </w:pPr>
    <w:rPr>
      <w:sz w:val="20"/>
      <w:szCs w:val="20"/>
    </w:rPr>
  </w:style>
  <w:style w:type="character" w:customStyle="1" w:styleId="CommentTextChar">
    <w:name w:val="Comment Text Char"/>
    <w:basedOn w:val="DefaultParagraphFont"/>
    <w:link w:val="CommentText"/>
    <w:uiPriority w:val="99"/>
    <w:semiHidden/>
    <w:rsid w:val="00875594"/>
    <w:rPr>
      <w:sz w:val="20"/>
      <w:szCs w:val="20"/>
    </w:rPr>
  </w:style>
  <w:style w:type="paragraph" w:styleId="CommentSubject">
    <w:name w:val="annotation subject"/>
    <w:basedOn w:val="CommentText"/>
    <w:next w:val="CommentText"/>
    <w:link w:val="CommentSubjectChar"/>
    <w:uiPriority w:val="99"/>
    <w:semiHidden/>
    <w:unhideWhenUsed/>
    <w:rsid w:val="00875594"/>
    <w:rPr>
      <w:b/>
      <w:bCs/>
    </w:rPr>
  </w:style>
  <w:style w:type="character" w:customStyle="1" w:styleId="CommentSubjectChar">
    <w:name w:val="Comment Subject Char"/>
    <w:basedOn w:val="CommentTextChar"/>
    <w:link w:val="CommentSubject"/>
    <w:uiPriority w:val="99"/>
    <w:semiHidden/>
    <w:rsid w:val="00875594"/>
    <w:rPr>
      <w:b/>
      <w:bCs/>
      <w:sz w:val="20"/>
      <w:szCs w:val="20"/>
    </w:rPr>
  </w:style>
  <w:style w:type="paragraph" w:styleId="Revision">
    <w:name w:val="Revision"/>
    <w:hidden/>
    <w:uiPriority w:val="99"/>
    <w:semiHidden/>
    <w:rsid w:val="00875594"/>
    <w:pPr>
      <w:spacing w:after="0" w:line="240" w:lineRule="auto"/>
    </w:pPr>
  </w:style>
  <w:style w:type="character" w:styleId="Hyperlink">
    <w:name w:val="Hyperlink"/>
    <w:basedOn w:val="DefaultParagraphFont"/>
    <w:uiPriority w:val="99"/>
    <w:semiHidden/>
    <w:unhideWhenUsed/>
    <w:rsid w:val="00490DEC"/>
    <w:rPr>
      <w:color w:val="0563C1"/>
      <w:u w:val="single"/>
    </w:rPr>
  </w:style>
  <w:style w:type="paragraph" w:styleId="ListParagraph">
    <w:name w:val="List Paragraph"/>
    <w:basedOn w:val="Normal"/>
    <w:uiPriority w:val="34"/>
    <w:qFormat/>
    <w:rsid w:val="00490DEC"/>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3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3BF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3BF2"/>
  </w:style>
  <w:style w:type="paragraph" w:styleId="Footer">
    <w:name w:val="footer"/>
    <w:basedOn w:val="Normal"/>
    <w:link w:val="FooterChar"/>
    <w:uiPriority w:val="99"/>
    <w:unhideWhenUsed/>
    <w:rsid w:val="001D3BF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3BF2"/>
  </w:style>
  <w:style w:type="paragraph" w:styleId="BalloonText">
    <w:name w:val="Balloon Text"/>
    <w:basedOn w:val="Normal"/>
    <w:link w:val="BalloonTextChar"/>
    <w:uiPriority w:val="99"/>
    <w:semiHidden/>
    <w:unhideWhenUsed/>
    <w:rsid w:val="00870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239"/>
    <w:rPr>
      <w:rFonts w:ascii="Segoe UI" w:hAnsi="Segoe UI" w:cs="Segoe UI"/>
      <w:sz w:val="18"/>
      <w:szCs w:val="18"/>
    </w:rPr>
  </w:style>
  <w:style w:type="character" w:styleId="CommentReference">
    <w:name w:val="annotation reference"/>
    <w:basedOn w:val="DefaultParagraphFont"/>
    <w:uiPriority w:val="99"/>
    <w:semiHidden/>
    <w:unhideWhenUsed/>
    <w:rsid w:val="00875594"/>
    <w:rPr>
      <w:sz w:val="16"/>
      <w:szCs w:val="16"/>
    </w:rPr>
  </w:style>
  <w:style w:type="paragraph" w:styleId="CommentText">
    <w:name w:val="annotation text"/>
    <w:basedOn w:val="Normal"/>
    <w:link w:val="CommentTextChar"/>
    <w:uiPriority w:val="99"/>
    <w:semiHidden/>
    <w:unhideWhenUsed/>
    <w:rsid w:val="00875594"/>
    <w:pPr>
      <w:spacing w:line="240" w:lineRule="auto"/>
    </w:pPr>
    <w:rPr>
      <w:sz w:val="20"/>
      <w:szCs w:val="20"/>
    </w:rPr>
  </w:style>
  <w:style w:type="character" w:customStyle="1" w:styleId="CommentTextChar">
    <w:name w:val="Comment Text Char"/>
    <w:basedOn w:val="DefaultParagraphFont"/>
    <w:link w:val="CommentText"/>
    <w:uiPriority w:val="99"/>
    <w:semiHidden/>
    <w:rsid w:val="00875594"/>
    <w:rPr>
      <w:sz w:val="20"/>
      <w:szCs w:val="20"/>
    </w:rPr>
  </w:style>
  <w:style w:type="paragraph" w:styleId="CommentSubject">
    <w:name w:val="annotation subject"/>
    <w:basedOn w:val="CommentText"/>
    <w:next w:val="CommentText"/>
    <w:link w:val="CommentSubjectChar"/>
    <w:uiPriority w:val="99"/>
    <w:semiHidden/>
    <w:unhideWhenUsed/>
    <w:rsid w:val="00875594"/>
    <w:rPr>
      <w:b/>
      <w:bCs/>
    </w:rPr>
  </w:style>
  <w:style w:type="character" w:customStyle="1" w:styleId="CommentSubjectChar">
    <w:name w:val="Comment Subject Char"/>
    <w:basedOn w:val="CommentTextChar"/>
    <w:link w:val="CommentSubject"/>
    <w:uiPriority w:val="99"/>
    <w:semiHidden/>
    <w:rsid w:val="00875594"/>
    <w:rPr>
      <w:b/>
      <w:bCs/>
      <w:sz w:val="20"/>
      <w:szCs w:val="20"/>
    </w:rPr>
  </w:style>
  <w:style w:type="paragraph" w:styleId="Revision">
    <w:name w:val="Revision"/>
    <w:hidden/>
    <w:uiPriority w:val="99"/>
    <w:semiHidden/>
    <w:rsid w:val="00875594"/>
    <w:pPr>
      <w:spacing w:after="0" w:line="240" w:lineRule="auto"/>
    </w:pPr>
  </w:style>
  <w:style w:type="character" w:styleId="Hyperlink">
    <w:name w:val="Hyperlink"/>
    <w:basedOn w:val="DefaultParagraphFont"/>
    <w:uiPriority w:val="99"/>
    <w:semiHidden/>
    <w:unhideWhenUsed/>
    <w:rsid w:val="00490DEC"/>
    <w:rPr>
      <w:color w:val="0563C1"/>
      <w:u w:val="single"/>
    </w:rPr>
  </w:style>
  <w:style w:type="paragraph" w:styleId="ListParagraph">
    <w:name w:val="List Paragraph"/>
    <w:basedOn w:val="Normal"/>
    <w:uiPriority w:val="34"/>
    <w:qFormat/>
    <w:rsid w:val="00490DEC"/>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45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D3B914211DA4690539851AF11284A" ma:contentTypeVersion="4" ma:contentTypeDescription="Create a new document." ma:contentTypeScope="" ma:versionID="f72531942aaf555010525dde7dad8eb1">
  <xsd:schema xmlns:xsd="http://www.w3.org/2001/XMLSchema" xmlns:xs="http://www.w3.org/2001/XMLSchema" xmlns:p="http://schemas.microsoft.com/office/2006/metadata/properties" xmlns:ns2="25b506d0-762b-47aa-adb6-8b80fc2be8cf" targetNamespace="http://schemas.microsoft.com/office/2006/metadata/properties" ma:root="true" ma:fieldsID="bec88e42e1d7563ad38010724055ea99" ns2:_="">
    <xsd:import namespace="25b506d0-762b-47aa-adb6-8b80fc2be8c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506d0-762b-47aa-adb6-8b80fc2be8c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4477A-B536-467A-A584-567FA7DB6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506d0-762b-47aa-adb6-8b80fc2be8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E7E84-98B9-4A3F-8B3C-7C9205378E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97CA8B-0675-4998-8052-AB15225B9443}">
  <ds:schemaRefs>
    <ds:schemaRef ds:uri="http://schemas.microsoft.com/sharepoint/v3/contenttype/forms"/>
  </ds:schemaRefs>
</ds:datastoreItem>
</file>

<file path=customXml/itemProps4.xml><?xml version="1.0" encoding="utf-8"?>
<ds:datastoreItem xmlns:ds="http://schemas.openxmlformats.org/officeDocument/2006/customXml" ds:itemID="{035C2D38-2739-476B-9AD9-D5DA4F9E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PAUNESCU Mugurel George</dc:creator>
  <cp:lastModifiedBy>MILOS Jelena (CLIMA)</cp:lastModifiedBy>
  <cp:revision>3</cp:revision>
  <cp:lastPrinted>2017-02-22T14:56:00Z</cp:lastPrinted>
  <dcterms:created xsi:type="dcterms:W3CDTF">2017-08-31T12:15:00Z</dcterms:created>
  <dcterms:modified xsi:type="dcterms:W3CDTF">2017-08-31T12:25:00Z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0x010100887D3B914211DA4690539851AF11284A</vt:lpwstr>
  </property>
</Properties>
</file>